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26080" cy="20688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i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06883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F79646"/>
          <w:sz w:val="56"/>
        </w:rPr>
        <w:t>Cumplimiento LFT 2026–2027</w:t>
      </w:r>
    </w:p>
    <w:p>
      <w:pPr>
        <w:jc w:val="center"/>
      </w:pPr>
      <w:r>
        <w:rPr>
          <w:rFonts w:ascii="Calibri" w:hAnsi="Calibri" w:cs="Calibri"/>
          <w:b w:val="0"/>
          <w:i/>
          <w:color w:val="2E5596"/>
          <w:sz w:val="32"/>
        </w:rPr>
        <w:t>Asistencia Geo — Requisitos Legales Verificados</w:t>
      </w:r>
    </w:p>
    <w:p/>
    <w:p>
      <w:pPr>
        <w:jc w:val="center"/>
      </w:pPr>
      <w:r>
        <w:rPr>
          <w:rFonts w:ascii="Calibri" w:hAnsi="Calibri" w:cs="Calibri"/>
          <w:color w:val="F79646"/>
          <w:sz w:val="24"/>
        </w:rPr>
        <w:t>────────────────────────────────────────</w:t>
      </w:r>
    </w:p>
    <w:p/>
    <w:p/>
    <w:p/>
    <w:p/>
    <w:p/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Autor:  </w:t>
      </w:r>
      <w:r>
        <w:rPr>
          <w:rFonts w:ascii="Calibri" w:hAnsi="Calibri" w:cs="Calibri"/>
          <w:color w:val="333333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Fecha:  </w:t>
      </w:r>
      <w:r>
        <w:rPr>
          <w:rFonts w:ascii="Calibri" w:hAnsi="Calibri" w:cs="Calibri"/>
          <w:color w:val="333333"/>
          <w:sz w:val="24"/>
        </w:rPr>
        <w:t>2026-10-20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Versión:  </w:t>
      </w:r>
      <w:r>
        <w:rPr>
          <w:rFonts w:ascii="Calibri" w:hAnsi="Calibri" w:cs="Calibri"/>
          <w:color w:val="333333"/>
          <w:sz w:val="24"/>
        </w:rPr>
        <w:t>v1.0</w:t>
      </w:r>
    </w:p>
    <w:p>
      <w:r>
        <w:br w:type="page"/>
      </w:r>
    </w:p>
    <w:p>
      <w:pPr>
        <w:pStyle w:val="Heading1"/>
      </w:pPr>
      <w:r>
        <w:rPr>
          <w:rFonts w:ascii="Calibri" w:hAnsi="Calibri" w:cs="Calibri"/>
          <w:b/>
          <w:color w:val="F79646"/>
          <w:sz w:val="40"/>
        </w:rPr>
        <w:t>11 — Cumplimiento LFT 2026–2027: requisitos legales para Asistencia Geo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Fecha: 2026-09-23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Autor: Rocky (agente principal)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Estado: VERIFICADO (fuentes oficiales + prensa especializada) — sujeto a lineamientos STPS (1 enero 2027)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1. Resumen ejecutivo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La LFT cambió de forma material en 2026 y el impacto para este sistema de asistencia es directo:</w:t>
      </w:r>
    </w:p>
    <w:p>
      <w:pPr>
        <w:pStyle w:val="ListNumber"/>
      </w:pPr>
      <w:r>
        <w:rPr>
          <w:rFonts w:ascii="Calibri" w:hAnsi="Calibri" w:cs="Calibri"/>
          <w:b/>
          <w:color w:val="333333"/>
          <w:sz w:val="22"/>
        </w:rPr>
        <w:t>Reforma constitucional de la jornada</w:t>
      </w:r>
      <w:r>
        <w:rPr>
          <w:rFonts w:ascii="Calibri" w:hAnsi="Calibri" w:cs="Calibri"/>
          <w:color w:val="333333"/>
          <w:sz w:val="22"/>
        </w:rPr>
        <w:t xml:space="preserve"> (publicada </w:t>
      </w:r>
      <w:r>
        <w:rPr>
          <w:rFonts w:ascii="Calibri" w:hAnsi="Calibri" w:cs="Calibri"/>
          <w:b/>
          <w:color w:val="333333"/>
          <w:sz w:val="22"/>
        </w:rPr>
        <w:t>3 de marzo de 2026</w:t>
      </w:r>
      <w:r>
        <w:rPr>
          <w:rFonts w:ascii="Calibri" w:hAnsi="Calibri" w:cs="Calibri"/>
          <w:color w:val="333333"/>
          <w:sz w:val="22"/>
        </w:rPr>
        <w:t>): la jornada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semanal máxima baja de 48 a 40 horas, de forma </w:t>
      </w:r>
      <w:r>
        <w:rPr>
          <w:rFonts w:ascii="Calibri" w:hAnsi="Calibri" w:cs="Calibri"/>
          <w:b/>
          <w:color w:val="333333"/>
          <w:sz w:val="22"/>
        </w:rPr>
        <w:t>gradual</w:t>
      </w:r>
      <w:r>
        <w:rPr>
          <w:rFonts w:ascii="Calibri" w:hAnsi="Calibri" w:cs="Calibri"/>
          <w:color w:val="333333"/>
          <w:sz w:val="22"/>
        </w:rPr>
        <w:t xml:space="preserve"> hasta 2030.</w:t>
      </w:r>
    </w:p>
    <w:p>
      <w:pPr>
        <w:pStyle w:val="ListNumber"/>
      </w:pPr>
      <w:r>
        <w:rPr>
          <w:rFonts w:ascii="Calibri" w:hAnsi="Calibri" w:cs="Calibri"/>
          <w:b/>
          <w:color w:val="333333"/>
          <w:sz w:val="22"/>
        </w:rPr>
        <w:t>Registro electrónico obligatorio de la jornada</w:t>
      </w:r>
      <w:r>
        <w:rPr>
          <w:rFonts w:ascii="Calibri" w:hAnsi="Calibri" w:cs="Calibri"/>
          <w:color w:val="333333"/>
          <w:sz w:val="22"/>
        </w:rPr>
        <w:t xml:space="preserve"> (nuevo </w:t>
      </w:r>
      <w:r>
        <w:rPr>
          <w:rFonts w:ascii="Calibri" w:hAnsi="Calibri" w:cs="Calibri"/>
          <w:b/>
          <w:color w:val="333333"/>
          <w:sz w:val="22"/>
        </w:rPr>
        <w:t>Art. 132, fracción XXXIV LFT</w:t>
      </w:r>
      <w:r>
        <w:rPr>
          <w:rFonts w:ascii="Calibri" w:hAnsi="Calibri" w:cs="Calibri"/>
          <w:color w:val="333333"/>
          <w:sz w:val="22"/>
        </w:rPr>
        <w:t>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decreto </w:t>
      </w:r>
      <w:r>
        <w:rPr>
          <w:rFonts w:ascii="Calibri" w:hAnsi="Calibri" w:cs="Calibri"/>
          <w:b/>
          <w:color w:val="333333"/>
          <w:sz w:val="22"/>
        </w:rPr>
        <w:t>1 de mayo de 2026</w:t>
      </w:r>
      <w:r>
        <w:rPr>
          <w:rFonts w:ascii="Calibri" w:hAnsi="Calibri" w:cs="Calibri"/>
          <w:color w:val="333333"/>
          <w:sz w:val="22"/>
        </w:rPr>
        <w:t>): todo patrón debe registrar electrónicamente la jornada de cada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trabajador (hora de inicio y fin). Sus disposiciones de detalle entran en vigor el **1 de enero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de 2027**.</w:t>
      </w:r>
    </w:p>
    <w:p>
      <w:pPr>
        <w:pStyle w:val="ListNumber"/>
      </w:pPr>
      <w:r>
        <w:rPr>
          <w:rFonts w:ascii="Calibri" w:hAnsi="Calibri" w:cs="Calibri"/>
          <w:b/>
          <w:color w:val="333333"/>
          <w:sz w:val="22"/>
        </w:rPr>
        <w:t>Nuevas reglas de horas extraordinarias</w:t>
      </w:r>
      <w:r>
        <w:rPr>
          <w:rFonts w:ascii="Calibri" w:hAnsi="Calibri" w:cs="Calibri"/>
          <w:color w:val="333333"/>
          <w:sz w:val="22"/>
        </w:rPr>
        <w:t>: límites semanales/diarios relajados (12 h/semana,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4 h/día, hasta 4 días/semana) con pago doble y, en exceso, triple.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El sistema ya cubre la parte más difícil (registro </w:t>
      </w:r>
      <w:r>
        <w:rPr>
          <w:rFonts w:ascii="Calibri" w:hAnsi="Calibri" w:cs="Calibri"/>
          <w:b/>
          <w:color w:val="333333"/>
          <w:sz w:val="22"/>
        </w:rPr>
        <w:t>inmutable</w:t>
      </w:r>
      <w:r>
        <w:rPr>
          <w:rFonts w:ascii="Calibri" w:hAnsi="Calibri" w:cs="Calibri"/>
          <w:color w:val="333333"/>
          <w:sz w:val="22"/>
        </w:rPr>
        <w:t xml:space="preserve"> con cadena de hash, consentimientos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por tipo, cifrado, reporte de nómina). El trabajo pendiente es </w:t>
      </w:r>
      <w:r>
        <w:rPr>
          <w:rFonts w:ascii="Calibri" w:hAnsi="Calibri" w:cs="Calibri"/>
          <w:b/>
          <w:color w:val="333333"/>
          <w:sz w:val="22"/>
        </w:rPr>
        <w:t>alinear umbrales y reglas de cálculo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a la nueva norma y </w:t>
      </w:r>
      <w:r>
        <w:rPr>
          <w:rFonts w:ascii="Calibri" w:hAnsi="Calibri" w:cs="Calibri"/>
          <w:b/>
          <w:color w:val="333333"/>
          <w:sz w:val="22"/>
        </w:rPr>
        <w:t>formalizar el registro electrónico</w:t>
      </w:r>
      <w:r>
        <w:rPr>
          <w:rFonts w:ascii="Calibri" w:hAnsi="Calibri" w:cs="Calibri"/>
          <w:color w:val="333333"/>
          <w:sz w:val="22"/>
        </w:rPr>
        <w:t xml:space="preserve"> para inspección STPS.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2. Jornada laboral — reducción gradual a 40 horas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Reforma constitucional publicada en el DOF el </w:t>
      </w:r>
      <w:r>
        <w:rPr>
          <w:rFonts w:ascii="Calibri" w:hAnsi="Calibri" w:cs="Calibri"/>
          <w:b/>
          <w:color w:val="333333"/>
          <w:sz w:val="22"/>
        </w:rPr>
        <w:t>3 de marzo de 2026</w:t>
      </w:r>
      <w:r>
        <w:rPr>
          <w:rFonts w:ascii="Calibri" w:hAnsi="Calibri" w:cs="Calibri"/>
          <w:color w:val="333333"/>
          <w:sz w:val="22"/>
        </w:rP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Año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Jornada semanal máxima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2026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48 horas (transición)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2027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46 horas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2028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44 horas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2029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42 horas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2030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40 horas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La reducción </w:t>
      </w:r>
      <w:r>
        <w:rPr>
          <w:rFonts w:ascii="Calibri" w:hAnsi="Calibri" w:cs="Calibri"/>
          <w:b/>
          <w:color w:val="333333"/>
          <w:sz w:val="22"/>
        </w:rPr>
        <w:t>no disminuye salarios ni prestaciones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Jornada diaria máxima</w:t>
      </w:r>
      <w:r>
        <w:rPr>
          <w:rFonts w:ascii="Calibri" w:hAnsi="Calibri" w:cs="Calibri"/>
          <w:color w:val="333333"/>
          <w:sz w:val="22"/>
        </w:rPr>
        <w:t xml:space="preserve"> (sin cambio): </w:t>
      </w:r>
      <w:r>
        <w:rPr>
          <w:rFonts w:ascii="Calibri" w:hAnsi="Calibri" w:cs="Calibri"/>
          <w:b/>
          <w:color w:val="333333"/>
          <w:sz w:val="22"/>
        </w:rPr>
        <w:t>8 h diurna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alibri" w:hAnsi="Calibri" w:cs="Calibri"/>
          <w:b/>
          <w:color w:val="333333"/>
          <w:sz w:val="22"/>
        </w:rPr>
        <w:t>7 h nocturna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alibri" w:hAnsi="Calibri" w:cs="Calibri"/>
          <w:b/>
          <w:color w:val="333333"/>
          <w:sz w:val="22"/>
        </w:rPr>
        <w:t>7.5 h mixta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Se mantiene </w:t>
      </w:r>
      <w:r>
        <w:rPr>
          <w:rFonts w:ascii="Calibri" w:hAnsi="Calibri" w:cs="Calibri"/>
          <w:b/>
          <w:color w:val="333333"/>
          <w:sz w:val="22"/>
        </w:rPr>
        <w:t>1 día de descanso</w:t>
      </w:r>
      <w:r>
        <w:rPr>
          <w:rFonts w:ascii="Calibri" w:hAnsi="Calibri" w:cs="Calibri"/>
          <w:color w:val="333333"/>
          <w:sz w:val="22"/>
        </w:rPr>
        <w:t xml:space="preserve"> con salario íntegro por cada 6 de trabajo.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Periodo de transición </w:t>
      </w:r>
      <w:r>
        <w:rPr>
          <w:rFonts w:ascii="Calibri" w:hAnsi="Calibri" w:cs="Calibri"/>
          <w:b/>
          <w:color w:val="333333"/>
          <w:sz w:val="22"/>
        </w:rPr>
        <w:t>1 de mayo – 31 de diciembre de 2026</w:t>
      </w:r>
      <w:r>
        <w:rPr>
          <w:rFonts w:ascii="Calibri" w:hAnsi="Calibri" w:cs="Calibri"/>
          <w:color w:val="333333"/>
          <w:sz w:val="22"/>
        </w:rPr>
        <w:t xml:space="preserve"> para ajustar procesos y organización.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Impacto sistema: </w:t>
      </w:r>
      <w:r>
        <w:rPr>
          <w:rFonts w:ascii="Consolas" w:hAnsi="Consolas" w:cs="Consolas"/>
          <w:color w:val="C0392B"/>
          <w:sz w:val="18"/>
        </w:rPr>
        <w:t>legal_config</w:t>
      </w:r>
      <w:r>
        <w:rPr>
          <w:rFonts w:ascii="Calibri" w:hAnsi="Calibri" w:cs="Calibri"/>
          <w:color w:val="333333"/>
          <w:sz w:val="21"/>
        </w:rPr>
        <w:t xml:space="preserve"> (JSONB por empresa) ya permite parametrizar umbrales; hay que alimentar la </w:t>
      </w:r>
      <w:r>
        <w:rPr>
          <w:rFonts w:ascii="Calibri" w:hAnsi="Calibri" w:cs="Calibri"/>
          <w:b/>
          <w:color w:val="333333"/>
          <w:sz w:val="21"/>
        </w:rPr>
        <w:t>jornada semanal vigente por año</w:t>
      </w:r>
      <w:r>
        <w:rPr>
          <w:rFonts w:ascii="Calibri" w:hAnsi="Calibri" w:cs="Calibri"/>
          <w:color w:val="333333"/>
          <w:sz w:val="21"/>
        </w:rPr>
        <w:t xml:space="preserve"> (46 h en 2027 → 40 h en 2030) y usarla para calcular horas extra y excesos.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3. Registro electrónico de jornada (obligación central)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Nuevo Art. 132, fracción XXXIV LFT</w:t>
      </w:r>
      <w:r>
        <w:rPr>
          <w:rFonts w:ascii="Calibri" w:hAnsi="Calibri" w:cs="Calibri"/>
          <w:color w:val="333333"/>
          <w:sz w:val="22"/>
        </w:rPr>
        <w:t xml:space="preserve"> (decreto publicado el 1 de mayo de 2026).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Todo patrón debe </w:t>
      </w:r>
      <w:r>
        <w:rPr>
          <w:rFonts w:ascii="Calibri" w:hAnsi="Calibri" w:cs="Calibri"/>
          <w:b/>
          <w:color w:val="333333"/>
          <w:sz w:val="22"/>
        </w:rPr>
        <w:t>registrar de manera electrónica la jornada de cada trabajador</w:t>
      </w:r>
      <w:r>
        <w:rPr>
          <w:rFonts w:ascii="Calibri" w:hAnsi="Calibri" w:cs="Calibri"/>
          <w:color w:val="333333"/>
          <w:sz w:val="22"/>
        </w:rPr>
        <w:t>, incluyendo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hora de inicio y finalización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Objetivos declarados: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Verificar el cumplimiento de los </w:t>
      </w:r>
      <w:r>
        <w:rPr>
          <w:rFonts w:ascii="Calibri" w:hAnsi="Calibri" w:cs="Calibri"/>
          <w:b/>
          <w:color w:val="333333"/>
          <w:sz w:val="22"/>
        </w:rPr>
        <w:t>nuevos límites de jornada</w:t>
      </w:r>
      <w:r>
        <w:rPr>
          <w:rFonts w:ascii="Calibri" w:hAnsi="Calibri" w:cs="Calibri"/>
          <w:color w:val="333333"/>
          <w:sz w:val="22"/>
        </w:rPr>
        <w:t xml:space="preserve"> y del </w:t>
      </w:r>
      <w:r>
        <w:rPr>
          <w:rFonts w:ascii="Calibri" w:hAnsi="Calibri" w:cs="Calibri"/>
          <w:b/>
          <w:color w:val="333333"/>
          <w:sz w:val="22"/>
        </w:rPr>
        <w:t>tiempo extraordinario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Servir como </w:t>
      </w:r>
      <w:r>
        <w:rPr>
          <w:rFonts w:ascii="Calibri" w:hAnsi="Calibri" w:cs="Calibri"/>
          <w:b/>
          <w:color w:val="333333"/>
          <w:sz w:val="22"/>
        </w:rPr>
        <w:t>medio de prueba</w:t>
      </w:r>
      <w:r>
        <w:rPr>
          <w:rFonts w:ascii="Calibri" w:hAnsi="Calibri" w:cs="Calibri"/>
          <w:color w:val="333333"/>
          <w:sz w:val="22"/>
        </w:rPr>
        <w:t xml:space="preserve"> en conflictos laborales (enlaza con Art. 784: carga de la prueba).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Garantizar el </w:t>
      </w:r>
      <w:r>
        <w:rPr>
          <w:rFonts w:ascii="Calibri" w:hAnsi="Calibri" w:cs="Calibri"/>
          <w:b/>
          <w:color w:val="333333"/>
          <w:sz w:val="22"/>
        </w:rPr>
        <w:t>derecho a la desconexión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Requisitos del registro: </w:t>
      </w:r>
      <w:r>
        <w:rPr>
          <w:rFonts w:ascii="Calibri" w:hAnsi="Calibri" w:cs="Calibri"/>
          <w:b/>
          <w:color w:val="333333"/>
          <w:sz w:val="22"/>
        </w:rPr>
        <w:t>trazable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alibri" w:hAnsi="Calibri" w:cs="Calibri"/>
          <w:b/>
          <w:color w:val="333333"/>
          <w:sz w:val="22"/>
        </w:rPr>
        <w:t>inalterable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alibri" w:hAnsi="Calibri" w:cs="Calibri"/>
          <w:b/>
          <w:color w:val="333333"/>
          <w:sz w:val="22"/>
        </w:rPr>
        <w:t>disponible para la autoridad</w:t>
      </w:r>
      <w:r>
        <w:rPr>
          <w:rFonts w:ascii="Calibri" w:hAnsi="Calibri" w:cs="Calibri"/>
          <w:color w:val="333333"/>
          <w:sz w:val="22"/>
        </w:rPr>
        <w:t xml:space="preserve"> cuando lo requiera.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Las </w:t>
      </w:r>
      <w:r>
        <w:rPr>
          <w:rFonts w:ascii="Calibri" w:hAnsi="Calibri" w:cs="Calibri"/>
          <w:b/>
          <w:color w:val="333333"/>
          <w:sz w:val="22"/>
        </w:rPr>
        <w:t>disposiciones de carácter general</w:t>
      </w:r>
      <w:r>
        <w:rPr>
          <w:rFonts w:ascii="Calibri" w:hAnsi="Calibri" w:cs="Calibri"/>
          <w:color w:val="333333"/>
          <w:sz w:val="22"/>
        </w:rPr>
        <w:t xml:space="preserve"> de la STPS (ámbito, excepciones, gradualidad por tamaño de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empresa, criterios de inspección) entran en vigor el </w:t>
      </w:r>
      <w:r>
        <w:rPr>
          <w:rFonts w:ascii="Calibri" w:hAnsi="Calibri" w:cs="Calibri"/>
          <w:b/>
          <w:color w:val="333333"/>
          <w:sz w:val="22"/>
        </w:rPr>
        <w:t>1 de enero de 2027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Sanción por incumplimiento:</w:t>
      </w:r>
      <w:r>
        <w:rPr>
          <w:rFonts w:ascii="Calibri" w:hAnsi="Calibri" w:cs="Calibri"/>
          <w:color w:val="333333"/>
          <w:sz w:val="22"/>
        </w:rPr>
        <w:t xml:space="preserve"> multa de </w:t>
      </w:r>
      <w:r>
        <w:rPr>
          <w:rFonts w:ascii="Calibri" w:hAnsi="Calibri" w:cs="Calibri"/>
          <w:b/>
          <w:color w:val="333333"/>
          <w:sz w:val="22"/>
        </w:rPr>
        <w:t>250 a 5,000 UMA</w:t>
      </w:r>
      <w:r>
        <w:rPr>
          <w:rFonts w:ascii="Calibri" w:hAnsi="Calibri" w:cs="Calibri"/>
          <w:color w:val="333333"/>
          <w:sz w:val="22"/>
        </w:rPr>
        <w:t xml:space="preserve"> (≈ $29,327 a $586,550 MXN en 2026).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La STPS apunta a </w:t>
      </w:r>
      <w:r>
        <w:rPr>
          <w:rFonts w:ascii="Calibri" w:hAnsi="Calibri" w:cs="Calibri"/>
          <w:b/>
          <w:color w:val="333333"/>
          <w:sz w:val="22"/>
        </w:rPr>
        <w:t>fiscalización remota</w:t>
      </w:r>
      <w:r>
        <w:rPr>
          <w:rFonts w:ascii="Calibri" w:hAnsi="Calibri" w:cs="Calibri"/>
          <w:color w:val="333333"/>
          <w:sz w:val="22"/>
        </w:rPr>
        <w:t xml:space="preserve"> y </w:t>
      </w:r>
      <w:r>
        <w:rPr>
          <w:rFonts w:ascii="Calibri" w:hAnsi="Calibri" w:cs="Calibri"/>
          <w:b/>
          <w:color w:val="333333"/>
          <w:sz w:val="22"/>
        </w:rPr>
        <w:t>acceso directo/automatizado</w:t>
      </w:r>
      <w:r>
        <w:rPr>
          <w:rFonts w:ascii="Calibri" w:hAnsi="Calibri" w:cs="Calibri"/>
          <w:color w:val="333333"/>
          <w:sz w:val="22"/>
        </w:rPr>
        <w:t xml:space="preserve"> a los sistemas de control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digital de jornada.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Impacto sistema: el núcleo (eventos </w:t>
      </w:r>
      <w:r>
        <w:rPr>
          <w:rFonts w:ascii="Consolas" w:hAnsi="Consolas" w:cs="Consolas"/>
          <w:color w:val="C0392B"/>
          <w:sz w:val="18"/>
        </w:rPr>
        <w:t>check_in</w:t>
      </w:r>
      <w:r>
        <w:rPr>
          <w:rFonts w:ascii="Calibri" w:hAnsi="Calibri" w:cs="Calibri"/>
          <w:color w:val="333333"/>
          <w:sz w:val="21"/>
        </w:rPr>
        <w:t>/</w:t>
      </w:r>
      <w:r>
        <w:rPr>
          <w:rFonts w:ascii="Consolas" w:hAnsi="Consolas" w:cs="Consolas"/>
          <w:color w:val="C0392B"/>
          <w:sz w:val="18"/>
        </w:rPr>
        <w:t>check_out</w:t>
      </w:r>
      <w:r>
        <w:rPr>
          <w:rFonts w:ascii="Calibri" w:hAnsi="Calibri" w:cs="Calibri"/>
          <w:color w:val="333333"/>
          <w:sz w:val="21"/>
        </w:rPr>
        <w:t xml:space="preserve"> con </w:t>
      </w:r>
      <w:r>
        <w:rPr>
          <w:rFonts w:ascii="Consolas" w:hAnsi="Consolas" w:cs="Consolas"/>
          <w:color w:val="C0392B"/>
          <w:sz w:val="18"/>
        </w:rPr>
        <w:t>server_time</w:t>
      </w:r>
      <w:r>
        <w:rPr>
          <w:rFonts w:ascii="Calibri" w:hAnsi="Calibri" w:cs="Calibri"/>
          <w:color w:val="333333"/>
          <w:sz w:val="21"/>
        </w:rPr>
        <w:t xml:space="preserve"> NTP + cadena de hash + inmutabilidad por trigger) ya cumple "trazable e inalterable". Falta: (a) </w:t>
      </w:r>
      <w:r>
        <w:rPr>
          <w:rFonts w:ascii="Calibri" w:hAnsi="Calibri" w:cs="Calibri"/>
          <w:b/>
          <w:color w:val="333333"/>
          <w:sz w:val="21"/>
        </w:rPr>
        <w:t>export oficial</w:t>
      </w:r>
      <w:r>
        <w:rPr>
          <w:rFonts w:ascii="Calibri" w:hAnsi="Calibri" w:cs="Calibri"/>
          <w:color w:val="333333"/>
          <w:sz w:val="21"/>
        </w:rPr>
        <w:t xml:space="preserve"> para la autoridad (formato por definir en los lineamientos), (b) API/reporte de </w:t>
      </w:r>
      <w:r>
        <w:rPr>
          <w:rFonts w:ascii="Calibri" w:hAnsi="Calibri" w:cs="Calibri"/>
          <w:b/>
          <w:color w:val="333333"/>
          <w:sz w:val="21"/>
        </w:rPr>
        <w:t>fiscalización remota</w:t>
      </w:r>
      <w:r>
        <w:rPr>
          <w:rFonts w:ascii="Calibri" w:hAnsi="Calibri" w:cs="Calibri"/>
          <w:color w:val="333333"/>
          <w:sz w:val="21"/>
        </w:rPr>
        <w:t xml:space="preserve">, y (c) validar el flujo completo con los </w:t>
      </w:r>
      <w:r>
        <w:rPr>
          <w:rFonts w:ascii="Calibri" w:hAnsi="Calibri" w:cs="Calibri"/>
          <w:b/>
          <w:color w:val="333333"/>
          <w:sz w:val="21"/>
        </w:rPr>
        <w:t>nuevos umbrales</w:t>
      </w:r>
      <w:r>
        <w:rPr>
          <w:rFonts w:ascii="Calibri" w:hAnsi="Calibri" w:cs="Calibri"/>
          <w:color w:val="333333"/>
          <w:sz w:val="21"/>
        </w:rPr>
        <w:t>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4. Horas extraordinarias — nuevas reglas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La reforma reemplaza el límite anterior (3 h/día y 3 veces/semana) por: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Máximo 12 horas extraordinarias por semana</w:t>
      </w:r>
      <w:r>
        <w:rPr>
          <w:rFonts w:ascii="Calibri" w:hAnsi="Calibri" w:cs="Calibri"/>
          <w:color w:val="333333"/>
          <w:sz w:val="22"/>
        </w:rPr>
        <w:t>, distribuidas en: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máx </w:t>
      </w:r>
      <w:r>
        <w:rPr>
          <w:rFonts w:ascii="Calibri" w:hAnsi="Calibri" w:cs="Calibri"/>
          <w:b/>
          <w:color w:val="333333"/>
          <w:sz w:val="22"/>
        </w:rPr>
        <w:t>4 horas diarias</w:t>
      </w:r>
      <w:r>
        <w:rPr>
          <w:rFonts w:ascii="Calibri" w:hAnsi="Calibri" w:cs="Calibri"/>
          <w:color w:val="333333"/>
          <w:sz w:val="22"/>
        </w:rPr>
        <w:t>,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hasta </w:t>
      </w:r>
      <w:r>
        <w:rPr>
          <w:rFonts w:ascii="Calibri" w:hAnsi="Calibri" w:cs="Calibri"/>
          <w:b/>
          <w:color w:val="333333"/>
          <w:sz w:val="22"/>
        </w:rPr>
        <w:t>4 días por semana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Pago doble (100 % adicional)</w:t>
      </w:r>
      <w:r>
        <w:rPr>
          <w:rFonts w:ascii="Calibri" w:hAnsi="Calibri" w:cs="Calibri"/>
          <w:color w:val="333333"/>
          <w:sz w:val="22"/>
        </w:rPr>
        <w:t xml:space="preserve"> por las horas extraordinarias ordinarias.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Pago triple (200 % adicional)</w:t>
      </w:r>
      <w:r>
        <w:rPr>
          <w:rFonts w:ascii="Calibri" w:hAnsi="Calibri" w:cs="Calibri"/>
          <w:color w:val="333333"/>
          <w:sz w:val="22"/>
        </w:rPr>
        <w:t xml:space="preserve"> por las que excedan los límites anteriores.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Prohibido</w:t>
      </w:r>
      <w:r>
        <w:rPr>
          <w:rFonts w:ascii="Calibri" w:hAnsi="Calibri" w:cs="Calibri"/>
          <w:color w:val="333333"/>
          <w:sz w:val="22"/>
        </w:rPr>
        <w:t xml:space="preserve"> para menores de 18 años.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Jornada ordinaria + extraordinaria nunca podrá exceder 12 h diarias.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Impacto sistema: actualizar </w:t>
      </w:r>
      <w:r>
        <w:rPr>
          <w:rFonts w:ascii="Consolas" w:hAnsi="Consolas" w:cs="Consolas"/>
          <w:color w:val="C0392B"/>
          <w:sz w:val="18"/>
        </w:rPr>
        <w:t>backend/app/services/payroll_rules.py</w:t>
      </w:r>
      <w:r>
        <w:rPr>
          <w:rFonts w:ascii="Calibri" w:hAnsi="Calibri" w:cs="Calibri"/>
          <w:color w:val="333333"/>
          <w:sz w:val="21"/>
        </w:rPr>
        <w:t xml:space="preserve"> y los defaults de </w:t>
      </w:r>
      <w:r>
        <w:rPr>
          <w:rFonts w:ascii="Consolas" w:hAnsi="Consolas" w:cs="Consolas"/>
          <w:color w:val="C0392B"/>
          <w:sz w:val="18"/>
        </w:rPr>
        <w:t>legal_config</w:t>
      </w:r>
      <w:r>
        <w:rPr>
          <w:rFonts w:ascii="Calibri" w:hAnsi="Calibri" w:cs="Calibri"/>
          <w:color w:val="333333"/>
          <w:sz w:val="21"/>
        </w:rPr>
        <w:t xml:space="preserve"> (</w:t>
      </w:r>
      <w:r>
        <w:rPr>
          <w:rFonts w:ascii="Consolas" w:hAnsi="Consolas" w:cs="Consolas"/>
          <w:color w:val="C0392B"/>
          <w:sz w:val="18"/>
        </w:rPr>
        <w:t>horas_extra_semana_max_doble</w:t>
      </w:r>
      <w:r>
        <w:rPr>
          <w:rFonts w:ascii="Calibri" w:hAnsi="Calibri" w:cs="Calibri"/>
          <w:color w:val="333333"/>
          <w:sz w:val="21"/>
        </w:rPr>
        <w:t xml:space="preserve">, </w:t>
      </w:r>
      <w:r>
        <w:rPr>
          <w:rFonts w:ascii="Consolas" w:hAnsi="Consolas" w:cs="Consolas"/>
          <w:color w:val="C0392B"/>
          <w:sz w:val="18"/>
        </w:rPr>
        <w:t>horas_extra_dia_max</w:t>
      </w:r>
      <w:r>
        <w:rPr>
          <w:rFonts w:ascii="Calibri" w:hAnsi="Calibri" w:cs="Calibri"/>
          <w:color w:val="333333"/>
          <w:sz w:val="21"/>
        </w:rPr>
        <w:t xml:space="preserve">). Hoy están en 9 h/semana y 3 h/día (regla antigua). Nuevo: </w:t>
      </w:r>
      <w:r>
        <w:rPr>
          <w:rFonts w:ascii="Calibri" w:hAnsi="Calibri" w:cs="Calibri"/>
          <w:b/>
          <w:color w:val="333333"/>
          <w:sz w:val="21"/>
        </w:rPr>
        <w:t>12 h/semana</w:t>
      </w:r>
      <w:r>
        <w:rPr>
          <w:rFonts w:ascii="Calibri" w:hAnsi="Calibri" w:cs="Calibri"/>
          <w:color w:val="333333"/>
          <w:sz w:val="21"/>
        </w:rPr>
        <w:t xml:space="preserve"> y </w:t>
      </w:r>
      <w:r>
        <w:rPr>
          <w:rFonts w:ascii="Calibri" w:hAnsi="Calibri" w:cs="Calibri"/>
          <w:b/>
          <w:color w:val="333333"/>
          <w:sz w:val="21"/>
        </w:rPr>
        <w:t>4 h/día</w:t>
      </w:r>
      <w:r>
        <w:rPr>
          <w:rFonts w:ascii="Calibri" w:hAnsi="Calibri" w:cs="Calibri"/>
          <w:color w:val="333333"/>
          <w:sz w:val="21"/>
        </w:rPr>
        <w:t>, con la condición "hasta 4 días/semana".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5. Conservación de registros y carga de la prueba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5.1 Carga de la prueba — Art. 784 LFT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En juicio, el </w:t>
      </w:r>
      <w:r>
        <w:rPr>
          <w:rFonts w:ascii="Calibri" w:hAnsi="Calibri" w:cs="Calibri"/>
          <w:b/>
          <w:color w:val="333333"/>
          <w:sz w:val="22"/>
        </w:rPr>
        <w:t>patrón</w:t>
      </w:r>
      <w:r>
        <w:rPr>
          <w:rFonts w:ascii="Calibri" w:hAnsi="Calibri" w:cs="Calibri"/>
          <w:color w:val="333333"/>
          <w:sz w:val="22"/>
        </w:rPr>
        <w:t xml:space="preserve"> debe probar (entre otros): fecha de ingreso, </w:t>
      </w:r>
      <w:r>
        <w:rPr>
          <w:rFonts w:ascii="Calibri" w:hAnsi="Calibri" w:cs="Calibri"/>
          <w:b/>
          <w:color w:val="333333"/>
          <w:sz w:val="22"/>
        </w:rPr>
        <w:t>faltas de asistencia</w:t>
      </w:r>
      <w:r>
        <w:rPr>
          <w:rFonts w:ascii="Calibri" w:hAnsi="Calibri" w:cs="Calibri"/>
          <w:color w:val="333333"/>
          <w:sz w:val="22"/>
        </w:rPr>
        <w:t>,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jornada ordinaria y extraordinaria</w:t>
      </w:r>
      <w:r>
        <w:rPr>
          <w:rFonts w:ascii="Calibri" w:hAnsi="Calibri" w:cs="Calibri"/>
          <w:color w:val="333333"/>
          <w:sz w:val="22"/>
        </w:rPr>
        <w:t>, pagos de descansos, aguinaldo, vacaciones, primas, salario,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aportaciones IMSS/INFONAVIT/SAR. Si no exhibe los documentos que está obligado a conservar, los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hechos alegados por el trabajador </w:t>
      </w:r>
      <w:r>
        <w:rPr>
          <w:rFonts w:ascii="Calibri" w:hAnsi="Calibri" w:cs="Calibri"/>
          <w:b/>
          <w:color w:val="333333"/>
          <w:sz w:val="22"/>
        </w:rPr>
        <w:t>se presumen ciertos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5.2 Plazos de conservación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Documento</w:t>
            </w:r>
          </w:p>
        </w:tc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Plazo (LFT Art. 804)</w:t>
            </w:r>
          </w:p>
        </w:tc>
        <w:tc>
          <w:tcPr>
            <w:tcW w:type="dxa" w:w="312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Otras leyes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Contratos individuales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toda la relación + 1 año tras término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—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Nóminas / listas de raya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último año + 1 año tras término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LSS: 5 años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Controles de asistencia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último año + 1 año tras término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—</w:t>
            </w:r>
          </w:p>
        </w:tc>
      </w:tr>
      <w:tr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Comprobantes (PTU, vacaciones, aguinaldo, primas, cuotas)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último año + 1 año</w:t>
            </w:r>
          </w:p>
        </w:tc>
        <w:tc>
          <w:tcPr>
            <w:tcW w:type="dxa" w:w="312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—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Ley del Seguro Social (LSS):</w:t>
      </w:r>
      <w:r>
        <w:rPr>
          <w:rFonts w:ascii="Calibri" w:hAnsi="Calibri" w:cs="Calibri"/>
          <w:color w:val="333333"/>
          <w:sz w:val="22"/>
        </w:rPr>
        <w:t xml:space="preserve"> conservar nóminas/listas de raya </w:t>
      </w:r>
      <w:r>
        <w:rPr>
          <w:rFonts w:ascii="Calibri" w:hAnsi="Calibri" w:cs="Calibri"/>
          <w:b/>
          <w:color w:val="333333"/>
          <w:sz w:val="22"/>
        </w:rPr>
        <w:t>5 años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Código Fiscal (CFF):</w:t>
      </w:r>
      <w:r>
        <w:rPr>
          <w:rFonts w:ascii="Calibri" w:hAnsi="Calibri" w:cs="Calibri"/>
          <w:color w:val="333333"/>
          <w:sz w:val="22"/>
        </w:rPr>
        <w:t xml:space="preserve"> contabilidad </w:t>
      </w:r>
      <w:r>
        <w:rPr>
          <w:rFonts w:ascii="Calibri" w:hAnsi="Calibri" w:cs="Calibri"/>
          <w:b/>
          <w:color w:val="333333"/>
          <w:sz w:val="22"/>
        </w:rPr>
        <w:t>5 años</w:t>
      </w:r>
      <w:r>
        <w:rPr>
          <w:rFonts w:ascii="Calibri" w:hAnsi="Calibri" w:cs="Calibri"/>
          <w:color w:val="333333"/>
          <w:sz w:val="22"/>
        </w:rPr>
        <w:t xml:space="preserve"> (hasta </w:t>
      </w:r>
      <w:r>
        <w:rPr>
          <w:rFonts w:ascii="Calibri" w:hAnsi="Calibri" w:cs="Calibri"/>
          <w:b/>
          <w:color w:val="333333"/>
          <w:sz w:val="22"/>
        </w:rPr>
        <w:t>10</w:t>
      </w:r>
      <w:r>
        <w:rPr>
          <w:rFonts w:ascii="Calibri" w:hAnsi="Calibri" w:cs="Calibri"/>
          <w:color w:val="333333"/>
          <w:sz w:val="22"/>
        </w:rPr>
        <w:t xml:space="preserve"> en ciertos casos).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Recomendación práctica: conservar registros de asistencia al menos 5 años</w:t>
      </w:r>
      <w:r>
        <w:rPr>
          <w:rFonts w:ascii="Calibri" w:hAnsi="Calibri" w:cs="Calibri"/>
          <w:color w:val="333333"/>
          <w:sz w:val="22"/>
        </w:rPr>
        <w:t xml:space="preserve"> (facultades SAT/IMSS/STPS).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Impacto sistema: </w:t>
      </w:r>
      <w:r>
        <w:rPr>
          <w:rFonts w:ascii="Consolas" w:hAnsi="Consolas" w:cs="Consolas"/>
          <w:color w:val="C0392B"/>
          <w:sz w:val="18"/>
        </w:rPr>
        <w:t>attendance_events</w:t>
      </w:r>
      <w:r>
        <w:rPr>
          <w:rFonts w:ascii="Calibri" w:hAnsi="Calibri" w:cs="Calibri"/>
          <w:color w:val="333333"/>
          <w:sz w:val="21"/>
        </w:rPr>
        <w:t xml:space="preserve"> es </w:t>
      </w:r>
      <w:r>
        <w:rPr>
          <w:rFonts w:ascii="Calibri" w:hAnsi="Calibri" w:cs="Calibri"/>
          <w:b/>
          <w:color w:val="333333"/>
          <w:sz w:val="21"/>
        </w:rPr>
        <w:t>append-only</w:t>
      </w:r>
      <w:r>
        <w:rPr>
          <w:rFonts w:ascii="Calibri" w:hAnsi="Calibri" w:cs="Calibri"/>
          <w:color w:val="333333"/>
          <w:sz w:val="21"/>
        </w:rPr>
        <w:t xml:space="preserve"> (no se borra), lo que garantiza la conservación. Falta: política explícita de </w:t>
      </w:r>
      <w:r>
        <w:rPr>
          <w:rFonts w:ascii="Calibri" w:hAnsi="Calibri" w:cs="Calibri"/>
          <w:b/>
          <w:color w:val="333333"/>
          <w:sz w:val="21"/>
        </w:rPr>
        <w:t>retención/archivado</w:t>
      </w:r>
      <w:r>
        <w:rPr>
          <w:rFonts w:ascii="Calibri" w:hAnsi="Calibri" w:cs="Calibri"/>
          <w:color w:val="333333"/>
          <w:sz w:val="21"/>
        </w:rPr>
        <w:t xml:space="preserve"> y </w:t>
      </w:r>
      <w:r>
        <w:rPr>
          <w:rFonts w:ascii="Calibri" w:hAnsi="Calibri" w:cs="Calibri"/>
          <w:b/>
          <w:color w:val="333333"/>
          <w:sz w:val="21"/>
        </w:rPr>
        <w:t>export a largo plazo</w:t>
      </w:r>
      <w:r>
        <w:rPr>
          <w:rFonts w:ascii="Calibri" w:hAnsi="Calibri" w:cs="Calibri"/>
          <w:color w:val="333333"/>
          <w:sz w:val="21"/>
        </w:rPr>
        <w:t xml:space="preserve"> (offline/cold storage).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6. Privacidad y datos biométricos — LFPDPPP (reformada 2025)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La LFPDPPP fue reformada en 2025 (publicada 20 de marzo de 2025; reforma del 14 de noviembre de 2025);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la autoridad reguladora es la </w:t>
      </w:r>
      <w:r>
        <w:rPr>
          <w:rFonts w:ascii="Calibri" w:hAnsi="Calibri" w:cs="Calibri"/>
          <w:b/>
          <w:color w:val="333333"/>
          <w:sz w:val="22"/>
        </w:rPr>
        <w:t>Secretaría Anticorrupción y Buen Gobierno (SABG)</w:t>
      </w:r>
      <w:r>
        <w:rPr>
          <w:rFonts w:ascii="Calibri" w:hAnsi="Calibri" w:cs="Calibri"/>
          <w:color w:val="333333"/>
          <w:sz w:val="22"/>
        </w:rPr>
        <w:t xml:space="preserve"> (antes INAI).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Datos biométricos (rostro, huella) y geolocalización = datos personales sensibles.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Se requiere </w:t>
      </w:r>
      <w:r>
        <w:rPr>
          <w:rFonts w:ascii="Calibri" w:hAnsi="Calibri" w:cs="Calibri"/>
          <w:b/>
          <w:color w:val="333333"/>
          <w:sz w:val="22"/>
        </w:rPr>
        <w:t>consentimiento expreso y por escrito</w:t>
      </w:r>
      <w:r>
        <w:rPr>
          <w:rFonts w:ascii="Calibri" w:hAnsi="Calibri" w:cs="Calibri"/>
          <w:color w:val="333333"/>
          <w:sz w:val="22"/>
        </w:rPr>
        <w:t xml:space="preserve"> de cada trabajador </w:t>
      </w:r>
      <w:r>
        <w:rPr>
          <w:rFonts w:ascii="Calibri" w:hAnsi="Calibri" w:cs="Calibri"/>
          <w:b/>
          <w:color w:val="333333"/>
          <w:sz w:val="22"/>
        </w:rPr>
        <w:t>antes</w:t>
      </w:r>
      <w:r>
        <w:rPr>
          <w:rFonts w:ascii="Calibri" w:hAnsi="Calibri" w:cs="Calibri"/>
          <w:color w:val="333333"/>
          <w:sz w:val="22"/>
        </w:rPr>
        <w:t xml:space="preserve"> de capturar datos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biométricos. No basta con instalar el sistema.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Documentar: **finalidad, necesidad, fundamento legal, aviso de privacidad, consentimiento y medidas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de seguridad</w:t>
      </w:r>
      <w:r>
        <w:rPr>
          <w:rFonts w:ascii="Calibri" w:hAnsi="Calibri" w:cs="Calibri"/>
          <w:b/>
          <w:color w:val="333333"/>
          <w:sz w:val="22"/>
        </w:rPr>
        <w:t xml:space="preserve">, y </w:t>
      </w:r>
      <w:r>
        <w:rPr>
          <w:rFonts w:ascii="Calibri" w:hAnsi="Calibri" w:cs="Calibri"/>
          <w:color w:val="333333"/>
          <w:sz w:val="22"/>
        </w:rPr>
        <w:t>ofrecer alternativas de marcaje** (no biométricas).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Geolocalización:</w:t>
      </w:r>
      <w:r>
        <w:rPr>
          <w:rFonts w:ascii="Calibri" w:hAnsi="Calibri" w:cs="Calibri"/>
          <w:color w:val="333333"/>
          <w:sz w:val="22"/>
        </w:rPr>
        <w:t xml:space="preserve"> legal solo con consentimiento informado y por escrito; el monitoreo debe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limitarse a </w:t>
      </w:r>
      <w:r>
        <w:rPr>
          <w:rFonts w:ascii="Calibri" w:hAnsi="Calibri" w:cs="Calibri"/>
          <w:b/>
          <w:color w:val="333333"/>
          <w:sz w:val="22"/>
        </w:rPr>
        <w:t>fines y horarios laborales</w:t>
      </w:r>
      <w:r>
        <w:rPr>
          <w:rFonts w:ascii="Calibri" w:hAnsi="Calibri" w:cs="Calibri"/>
          <w:color w:val="333333"/>
          <w:sz w:val="22"/>
        </w:rPr>
        <w:t xml:space="preserve"> (no fuera de jornada).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Sanciones económicas; </w:t>
      </w:r>
      <w:r>
        <w:rPr>
          <w:rFonts w:ascii="Calibri" w:hAnsi="Calibri" w:cs="Calibri"/>
          <w:b/>
          <w:color w:val="333333"/>
          <w:sz w:val="22"/>
        </w:rPr>
        <w:t>se duplican</w:t>
      </w:r>
      <w:r>
        <w:rPr>
          <w:rFonts w:ascii="Calibri" w:hAnsi="Calibri" w:cs="Calibri"/>
          <w:color w:val="333333"/>
          <w:sz w:val="22"/>
        </w:rPr>
        <w:t xml:space="preserve"> en caso de datos sensibles.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Impacto sistema: ya hay </w:t>
      </w:r>
      <w:r>
        <w:rPr>
          <w:rFonts w:ascii="Consolas" w:hAnsi="Consolas" w:cs="Consolas"/>
          <w:color w:val="C0392B"/>
          <w:sz w:val="18"/>
        </w:rPr>
        <w:t>consents</w:t>
      </w:r>
      <w:r>
        <w:rPr>
          <w:rFonts w:ascii="Calibri" w:hAnsi="Calibri" w:cs="Calibri"/>
          <w:color w:val="333333"/>
          <w:sz w:val="21"/>
        </w:rPr>
        <w:t xml:space="preserve"> (por tipo: </w:t>
      </w:r>
      <w:r>
        <w:rPr>
          <w:rFonts w:ascii="Consolas" w:hAnsi="Consolas" w:cs="Consolas"/>
          <w:color w:val="C0392B"/>
          <w:sz w:val="18"/>
        </w:rPr>
        <w:t>gps</w:t>
      </w:r>
      <w:r>
        <w:rPr>
          <w:rFonts w:ascii="Calibri" w:hAnsi="Calibri" w:cs="Calibri"/>
          <w:color w:val="333333"/>
          <w:sz w:val="21"/>
        </w:rPr>
        <w:t xml:space="preserve">, </w:t>
      </w:r>
      <w:r>
        <w:rPr>
          <w:rFonts w:ascii="Consolas" w:hAnsi="Consolas" w:cs="Consolas"/>
          <w:color w:val="C0392B"/>
          <w:sz w:val="18"/>
        </w:rPr>
        <w:t>biometric</w:t>
      </w:r>
      <w:r>
        <w:rPr>
          <w:rFonts w:ascii="Calibri" w:hAnsi="Calibri" w:cs="Calibri"/>
          <w:color w:val="333333"/>
          <w:sz w:val="21"/>
        </w:rPr>
        <w:t xml:space="preserve">, </w:t>
      </w:r>
      <w:r>
        <w:rPr>
          <w:rFonts w:ascii="Consolas" w:hAnsi="Consolas" w:cs="Consolas"/>
          <w:color w:val="C0392B"/>
          <w:sz w:val="18"/>
        </w:rPr>
        <w:t>face</w:t>
      </w:r>
      <w:r>
        <w:rPr>
          <w:rFonts w:ascii="Calibri" w:hAnsi="Calibri" w:cs="Calibri"/>
          <w:color w:val="333333"/>
          <w:sz w:val="21"/>
        </w:rPr>
        <w:t xml:space="preserve">, </w:t>
      </w:r>
      <w:r>
        <w:rPr>
          <w:rFonts w:ascii="Consolas" w:hAnsi="Consolas" w:cs="Consolas"/>
          <w:color w:val="C0392B"/>
          <w:sz w:val="18"/>
        </w:rPr>
        <w:t>data</w:t>
      </w:r>
      <w:r>
        <w:rPr>
          <w:rFonts w:ascii="Calibri" w:hAnsi="Calibri" w:cs="Calibri"/>
          <w:color w:val="333333"/>
          <w:sz w:val="21"/>
        </w:rPr>
        <w:t xml:space="preserve">, con versión), aviso de privacidad, cifrado en reposo (AES-256-GCM) y en tránsito (TLS 1.3), y minimización (solo coordenadas al registrar, no tracking continuo). Falta: verificar (a) que el consentimiento se capture como </w:t>
      </w:r>
      <w:r>
        <w:rPr>
          <w:rFonts w:ascii="Calibri" w:hAnsi="Calibri" w:cs="Calibri"/>
          <w:b/>
          <w:color w:val="333333"/>
          <w:sz w:val="21"/>
        </w:rPr>
        <w:t>expreso y por escrito</w:t>
      </w:r>
      <w:r>
        <w:rPr>
          <w:rFonts w:ascii="Calibri" w:hAnsi="Calibri" w:cs="Calibri"/>
          <w:color w:val="333333"/>
          <w:sz w:val="21"/>
        </w:rPr>
        <w:t xml:space="preserve"> (firma/aceptación digital auditable) y (b) que exista una </w:t>
      </w:r>
      <w:r>
        <w:rPr>
          <w:rFonts w:ascii="Calibri" w:hAnsi="Calibri" w:cs="Calibri"/>
          <w:b/>
          <w:color w:val="333333"/>
          <w:sz w:val="21"/>
        </w:rPr>
        <w:t>alternativa de marcaje no biométrica</w:t>
      </w:r>
      <w:r>
        <w:rPr>
          <w:rFonts w:ascii="Calibri" w:hAnsi="Calibri" w:cs="Calibri"/>
          <w:color w:val="333333"/>
          <w:sz w:val="21"/>
        </w:rPr>
        <w:t xml:space="preserve"> explícita (el enum </w:t>
      </w:r>
      <w:r>
        <w:rPr>
          <w:rFonts w:ascii="Consolas" w:hAnsi="Consolas" w:cs="Consolas"/>
          <w:color w:val="C0392B"/>
          <w:sz w:val="18"/>
        </w:rPr>
        <w:t>auth_method</w:t>
      </w:r>
      <w:r>
        <w:rPr>
          <w:rFonts w:ascii="Calibri" w:hAnsi="Calibri" w:cs="Calibri"/>
          <w:color w:val="333333"/>
          <w:sz w:val="21"/>
        </w:rPr>
        <w:t xml:space="preserve"> ya incluye </w:t>
      </w:r>
      <w:r>
        <w:rPr>
          <w:rFonts w:ascii="Consolas" w:hAnsi="Consolas" w:cs="Consolas"/>
          <w:color w:val="C0392B"/>
          <w:sz w:val="18"/>
        </w:rPr>
        <w:t>standard</w:t>
      </w:r>
      <w:r>
        <w:rPr>
          <w:rFonts w:ascii="Calibri" w:hAnsi="Calibri" w:cs="Calibri"/>
          <w:color w:val="333333"/>
          <w:sz w:val="21"/>
        </w:rPr>
        <w:t>, hay que garantizarla como opción real en la app).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7. Otras obligaciones relacionadas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NOM-037-STPS-2023 (teletrabajo):</w:t>
      </w:r>
      <w:r>
        <w:rPr>
          <w:rFonts w:ascii="Calibri" w:hAnsi="Calibri" w:cs="Calibri"/>
          <w:color w:val="333333"/>
          <w:sz w:val="22"/>
        </w:rPr>
        <w:t xml:space="preserve"> registro de jornada, registro de insumos y **derecho a la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desconexión**. El sistema lo cubre con perfiles </w:t>
      </w:r>
      <w:r>
        <w:rPr>
          <w:rFonts w:ascii="Consolas" w:hAnsi="Consolas" w:cs="Consolas"/>
          <w:color w:val="C0392B"/>
          <w:sz w:val="19"/>
        </w:rPr>
        <w:t>remote</w:t>
      </w:r>
      <w:r>
        <w:rPr>
          <w:rFonts w:ascii="Calibri" w:hAnsi="Calibri" w:cs="Calibri"/>
          <w:color w:val="333333"/>
          <w:sz w:val="22"/>
        </w:rPr>
        <w:t xml:space="preserve"> (</w:t>
      </w:r>
      <w:r>
        <w:rPr>
          <w:rFonts w:ascii="Consolas" w:hAnsi="Consolas" w:cs="Consolas"/>
          <w:color w:val="C0392B"/>
          <w:sz w:val="19"/>
        </w:rPr>
        <w:t>geofence_status = not_required</w:t>
      </w:r>
      <w:r>
        <w:rPr>
          <w:rFonts w:ascii="Calibri" w:hAnsi="Calibri" w:cs="Calibri"/>
          <w:color w:val="333333"/>
          <w:sz w:val="22"/>
        </w:rPr>
        <w:t>),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pausas (</w:t>
      </w:r>
      <w:r>
        <w:rPr>
          <w:rFonts w:ascii="Consolas" w:hAnsi="Consolas" w:cs="Consolas"/>
          <w:color w:val="C0392B"/>
          <w:sz w:val="19"/>
        </w:rPr>
        <w:t>pause_start</w:t>
      </w:r>
      <w:r>
        <w:rPr>
          <w:rFonts w:ascii="Calibri" w:hAnsi="Calibri" w:cs="Calibri"/>
          <w:color w:val="333333"/>
          <w:sz w:val="22"/>
        </w:rPr>
        <w:t>/</w:t>
      </w:r>
      <w:r>
        <w:rPr>
          <w:rFonts w:ascii="Consolas" w:hAnsi="Consolas" w:cs="Consolas"/>
          <w:color w:val="C0392B"/>
          <w:sz w:val="19"/>
        </w:rPr>
        <w:t>pause_end</w:t>
      </w:r>
      <w:r>
        <w:rPr>
          <w:rFonts w:ascii="Calibri" w:hAnsi="Calibri" w:cs="Calibri"/>
          <w:color w:val="333333"/>
          <w:sz w:val="22"/>
        </w:rPr>
        <w:t>) y franjas de desconexión.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"Ley Silla"</w:t>
      </w:r>
      <w:r>
        <w:rPr>
          <w:rFonts w:ascii="Calibri" w:hAnsi="Calibri" w:cs="Calibri"/>
          <w:color w:val="333333"/>
          <w:sz w:val="22"/>
        </w:rPr>
        <w:t xml:space="preserve"> (asientos con respaldo): exigible desde </w:t>
      </w:r>
      <w:r>
        <w:rPr>
          <w:rFonts w:ascii="Calibri" w:hAnsi="Calibri" w:cs="Calibri"/>
          <w:b/>
          <w:color w:val="333333"/>
          <w:sz w:val="22"/>
        </w:rPr>
        <w:t>diciembre de 2025</w:t>
      </w:r>
      <w:r>
        <w:rPr>
          <w:rFonts w:ascii="Calibri" w:hAnsi="Calibri" w:cs="Calibri"/>
          <w:color w:val="333333"/>
          <w:sz w:val="22"/>
        </w:rPr>
        <w:t>. No impacta el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registro de asistencia, pero es obligación patronal vigente.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Constancias (Art. 132 LFT):</w:t>
      </w:r>
      <w:r>
        <w:rPr>
          <w:rFonts w:ascii="Calibri" w:hAnsi="Calibri" w:cs="Calibri"/>
          <w:color w:val="333333"/>
          <w:sz w:val="22"/>
        </w:rPr>
        <w:t xml:space="preserve"> expedir constancia escrita de **días trabajados y salario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percibido** a solicitud del trabajador (cada 15 días a petición, y constancia de servicios al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separarse). Falta: endpoint para generar estas constancias.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8. Mapeo: requisito → estado en el sistema (gap analysis)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#</w:t>
            </w:r>
          </w:p>
        </w:tc>
        <w:tc>
          <w:tcPr>
            <w:tcW w:type="dxa" w:w="234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Requisito legal</w:t>
            </w:r>
          </w:p>
        </w:tc>
        <w:tc>
          <w:tcPr>
            <w:tcW w:type="dxa" w:w="234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Estado en Asistencia Geo</w:t>
            </w:r>
          </w:p>
        </w:tc>
        <w:tc>
          <w:tcPr>
            <w:tcW w:type="dxa" w:w="234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Dónde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Registro electrónico de jornada (inicio/fin)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✅ Implementado (check_in/out + </w:t>
            </w:r>
            <w:r>
              <w:rPr>
                <w:rFonts w:ascii="Consolas" w:hAnsi="Consolas" w:cs="Consolas"/>
                <w:color w:val="C0392B"/>
                <w:sz w:val="17"/>
              </w:rPr>
              <w:t>server_time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 NTP)</w:t>
            </w:r>
          </w:p>
        </w:tc>
        <w:tc>
          <w:tcPr>
            <w:tcW w:type="dxa" w:w="234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attendance_events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, </w:t>
            </w:r>
            <w:r>
              <w:rPr>
                <w:rFonts w:ascii="Consolas" w:hAnsi="Consolas" w:cs="Consolas"/>
                <w:color w:val="C0392B"/>
                <w:sz w:val="17"/>
              </w:rPr>
              <w:t>attendance.py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2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Registro trazable e inalterable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Inmutabilidad + cadena de hash</w:t>
            </w:r>
          </w:p>
        </w:tc>
        <w:tc>
          <w:tcPr>
            <w:tcW w:type="dxa" w:w="234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db/001_immutability.sql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3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Export/fiscalización remota STPS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⚠️ Pendiente (lineamientos STPS 2027)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—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4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Jornada gradual 46h→40h por año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⚠️ Pendiente parametrizar por año</w:t>
            </w:r>
          </w:p>
        </w:tc>
        <w:tc>
          <w:tcPr>
            <w:tcW w:type="dxa" w:w="234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legal_config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, </w:t>
            </w:r>
            <w:r>
              <w:rPr>
                <w:rFonts w:ascii="Consolas" w:hAnsi="Consolas" w:cs="Consolas"/>
                <w:color w:val="C0392B"/>
                <w:sz w:val="17"/>
              </w:rPr>
              <w:t>payroll_rules.py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5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Horas extra: 12h/sem, 4h/día, 4 días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⚠️ Pendiente actualizar (hoy 9h/3h)</w:t>
            </w:r>
          </w:p>
        </w:tc>
        <w:tc>
          <w:tcPr>
            <w:tcW w:type="dxa" w:w="234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payroll_rules.py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, </w:t>
            </w:r>
            <w:r>
              <w:rPr>
                <w:rFonts w:ascii="Consolas" w:hAnsi="Consolas" w:cs="Consolas"/>
                <w:color w:val="C0392B"/>
                <w:sz w:val="17"/>
              </w:rPr>
              <w:t>legal_config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6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Doble/triple pago de horas extra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Implementado</w:t>
            </w:r>
          </w:p>
        </w:tc>
        <w:tc>
          <w:tcPr>
            <w:tcW w:type="dxa" w:w="234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reports/timesheet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, </w:t>
            </w:r>
            <w:r>
              <w:rPr>
                <w:rFonts w:ascii="Consolas" w:hAnsi="Consolas" w:cs="Consolas"/>
                <w:color w:val="C0392B"/>
                <w:sz w:val="17"/>
              </w:rPr>
              <w:t>payroll_rules.py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7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Conservación ≥5 años (append-only)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Append-only (no borra)</w:t>
            </w:r>
          </w:p>
        </w:tc>
        <w:tc>
          <w:tcPr>
            <w:tcW w:type="dxa" w:w="234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db/001_immutability.sql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8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Carga de la prueba (Art. 784)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Evidencia hash + audit log</w:t>
            </w:r>
          </w:p>
        </w:tc>
        <w:tc>
          <w:tcPr>
            <w:tcW w:type="dxa" w:w="234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attendance_audit_log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9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Consentimiento biométrico expreso y por escrito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⚠️ Parcial (consents por tipo, falta firma/aceptación escrita auditable)</w:t>
            </w:r>
          </w:p>
        </w:tc>
        <w:tc>
          <w:tcPr>
            <w:tcW w:type="dxa" w:w="234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consents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10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Alternativa de marcaje no biométrica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⚠️ Parcial (</w:t>
            </w:r>
            <w:r>
              <w:rPr>
                <w:rFonts w:ascii="Consolas" w:hAnsi="Consolas" w:cs="Consolas"/>
                <w:color w:val="C0392B"/>
                <w:sz w:val="17"/>
              </w:rPr>
              <w:t>auth_method=standard</w:t>
            </w:r>
            <w:r>
              <w:rPr>
                <w:rFonts w:ascii="Calibri" w:hAnsi="Calibri" w:cs="Calibri"/>
                <w:color w:val="333333"/>
                <w:sz w:val="20"/>
              </w:rPr>
              <w:t>, garantizar en UI)</w:t>
            </w:r>
          </w:p>
        </w:tc>
        <w:tc>
          <w:tcPr>
            <w:tcW w:type="dxa" w:w="234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attendance.py</w:t>
            </w:r>
            <w:r>
              <w:rPr>
                <w:rFonts w:ascii="Calibri" w:hAnsi="Calibri" w:cs="Calibri"/>
                <w:color w:val="333333"/>
                <w:sz w:val="20"/>
              </w:rPr>
              <w:t>, app móvil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11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Geolocalización solo en horario laboral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Minimización (solo al registrar)</w:t>
            </w:r>
          </w:p>
        </w:tc>
        <w:tc>
          <w:tcPr>
            <w:tcW w:type="dxa" w:w="234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attendance.py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12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NOM-037 teletrabajo + desconexión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✅ Implementado</w:t>
            </w:r>
          </w:p>
        </w:tc>
        <w:tc>
          <w:tcPr>
            <w:tcW w:type="dxa" w:w="2340"/>
          </w:tcPr>
          <w:p>
            <w:r/>
            <w:r>
              <w:rPr>
                <w:rFonts w:ascii="Consolas" w:hAnsi="Consolas" w:cs="Consolas"/>
                <w:color w:val="C0392B"/>
                <w:sz w:val="17"/>
              </w:rPr>
              <w:t>04-nom037-y-lft.md</w:t>
            </w:r>
            <w:r>
              <w:rPr>
                <w:rFonts w:ascii="Calibri" w:hAnsi="Calibri" w:cs="Calibri"/>
                <w:color w:val="333333"/>
                <w:sz w:val="20"/>
              </w:rPr>
              <w:t xml:space="preserve">, </w:t>
            </w:r>
            <w:r>
              <w:rPr>
                <w:rFonts w:ascii="Consolas" w:hAnsi="Consolas" w:cs="Consolas"/>
                <w:color w:val="C0392B"/>
                <w:sz w:val="17"/>
              </w:rPr>
              <w:t>reports/timesheet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13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Constancias de días trabajados/salario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⚠️ Pendiente (endpoint)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—</w:t>
            </w:r>
          </w:p>
        </w:tc>
      </w:tr>
      <w:tr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14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Ley Silla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N/A (obligación física, no del sistema)</w:t>
            </w:r>
          </w:p>
        </w:tc>
        <w:tc>
          <w:tcPr>
            <w:tcW w:type="dxa" w:w="234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—</w:t>
            </w:r>
          </w:p>
        </w:tc>
      </w:tr>
    </w:tbl>
    <w:p>
      <w:pPr>
        <w:spacing w:after="4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9. Roadmap de cumplimiento 2027 (sugerido)</w:t>
      </w:r>
    </w:p>
    <w:p>
      <w:pPr>
        <w:pStyle w:val="ListNumber"/>
      </w:pPr>
      <w:r>
        <w:rPr>
          <w:rFonts w:ascii="Calibri" w:hAnsi="Calibri" w:cs="Calibri"/>
          <w:b/>
          <w:color w:val="333333"/>
          <w:sz w:val="22"/>
        </w:rPr>
        <w:t>Actualizar reglas de cálculo</w:t>
      </w:r>
      <w:r>
        <w:rPr>
          <w:rFonts w:ascii="Calibri" w:hAnsi="Calibri" w:cs="Calibri"/>
          <w:color w:val="333333"/>
          <w:sz w:val="22"/>
        </w:rPr>
        <w:t xml:space="preserve"> (</w:t>
      </w:r>
      <w:r>
        <w:rPr>
          <w:rFonts w:ascii="Consolas" w:hAnsi="Consolas" w:cs="Consolas"/>
          <w:color w:val="C0392B"/>
          <w:sz w:val="19"/>
        </w:rPr>
        <w:t>payroll_rules.py</w:t>
      </w:r>
      <w:r>
        <w:rPr>
          <w:rFonts w:ascii="Calibri" w:hAnsi="Calibri" w:cs="Calibri"/>
          <w:color w:val="333333"/>
          <w:sz w:val="22"/>
        </w:rPr>
        <w:t xml:space="preserve"> + defaults </w:t>
      </w:r>
      <w:r>
        <w:rPr>
          <w:rFonts w:ascii="Consolas" w:hAnsi="Consolas" w:cs="Consolas"/>
          <w:color w:val="C0392B"/>
          <w:sz w:val="19"/>
        </w:rPr>
        <w:t>legal_config</w:t>
      </w:r>
      <w:r>
        <w:rPr>
          <w:rFonts w:ascii="Calibri" w:hAnsi="Calibri" w:cs="Calibri"/>
          <w:color w:val="333333"/>
          <w:sz w:val="22"/>
        </w:rPr>
        <w:t>):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horas extra → 12 h/semana, 4 h/día, 4 días/semana; doble/triple; tope 12 h/día total.</w:t>
      </w:r>
    </w:p>
    <w:p>
      <w:pPr>
        <w:pStyle w:val="ListNumber"/>
      </w:pPr>
      <w:r>
        <w:rPr>
          <w:rFonts w:ascii="Calibri" w:hAnsi="Calibri" w:cs="Calibri"/>
          <w:b/>
          <w:color w:val="333333"/>
          <w:sz w:val="22"/>
        </w:rPr>
        <w:t>Parametrizar jornada semanal por año</w:t>
      </w:r>
      <w:r>
        <w:rPr>
          <w:rFonts w:ascii="Calibri" w:hAnsi="Calibri" w:cs="Calibri"/>
          <w:color w:val="333333"/>
          <w:sz w:val="22"/>
        </w:rPr>
        <w:t xml:space="preserve"> (46 h 2027 … 40 h 2030) en </w:t>
      </w:r>
      <w:r>
        <w:rPr>
          <w:rFonts w:ascii="Consolas" w:hAnsi="Consolas" w:cs="Consolas"/>
          <w:color w:val="C0392B"/>
          <w:sz w:val="19"/>
        </w:rPr>
        <w:t>legal_config</w:t>
      </w:r>
      <w:r>
        <w:rPr>
          <w:rFonts w:ascii="Calibri" w:hAnsi="Calibri" w:cs="Calibri"/>
          <w:color w:val="333333"/>
          <w:sz w:val="22"/>
        </w:rPr>
        <w:t xml:space="preserve"> y usarla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para validar excesos de jornada.</w:t>
      </w:r>
    </w:p>
    <w:p>
      <w:pPr>
        <w:pStyle w:val="ListNumber"/>
      </w:pPr>
      <w:r>
        <w:rPr>
          <w:rFonts w:ascii="Calibri" w:hAnsi="Calibri" w:cs="Calibri"/>
          <w:b/>
          <w:color w:val="333333"/>
          <w:sz w:val="22"/>
        </w:rPr>
        <w:t>Consentimiento expreso y por escrito:</w:t>
      </w:r>
      <w:r>
        <w:rPr>
          <w:rFonts w:ascii="Calibri" w:hAnsi="Calibri" w:cs="Calibri"/>
          <w:color w:val="333333"/>
          <w:sz w:val="22"/>
        </w:rPr>
        <w:t xml:space="preserve"> capturar aceptación digital firmada/auditable en </w:t>
      </w:r>
      <w:r>
        <w:rPr>
          <w:rFonts w:ascii="Consolas" w:hAnsi="Consolas" w:cs="Consolas"/>
          <w:color w:val="C0392B"/>
          <w:sz w:val="19"/>
        </w:rPr>
        <w:t>consents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(timestamp + versión + IP/UA), y garantizar </w:t>
      </w:r>
      <w:r>
        <w:rPr>
          <w:rFonts w:ascii="Calibri" w:hAnsi="Calibri" w:cs="Calibri"/>
          <w:b/>
          <w:color w:val="333333"/>
          <w:sz w:val="22"/>
        </w:rPr>
        <w:t>alternativa de marcaje no biométrica</w:t>
      </w:r>
      <w:r>
        <w:rPr>
          <w:rFonts w:ascii="Calibri" w:hAnsi="Calibri" w:cs="Calibri"/>
          <w:color w:val="333333"/>
          <w:sz w:val="22"/>
        </w:rPr>
        <w:t xml:space="preserve"> en la app.</w:t>
      </w:r>
    </w:p>
    <w:p>
      <w:pPr>
        <w:pStyle w:val="ListNumber"/>
      </w:pPr>
      <w:r>
        <w:rPr>
          <w:rFonts w:ascii="Calibri" w:hAnsi="Calibri" w:cs="Calibri"/>
          <w:b/>
          <w:color w:val="333333"/>
          <w:sz w:val="22"/>
        </w:rPr>
        <w:t>Endpoint de constancias</w:t>
      </w:r>
      <w:r>
        <w:rPr>
          <w:rFonts w:ascii="Calibri" w:hAnsi="Calibri" w:cs="Calibri"/>
          <w:color w:val="333333"/>
          <w:sz w:val="22"/>
        </w:rPr>
        <w:t xml:space="preserve"> (Art. 132): días trabajados + salario, y constancia de separación.</w:t>
      </w:r>
    </w:p>
    <w:p>
      <w:pPr>
        <w:pStyle w:val="ListNumber"/>
      </w:pPr>
      <w:r>
        <w:rPr>
          <w:rFonts w:ascii="Calibri" w:hAnsi="Calibri" w:cs="Calibri"/>
          <w:b/>
          <w:color w:val="333333"/>
          <w:sz w:val="22"/>
        </w:rPr>
        <w:t>Export oficial para fiscalización:</w:t>
      </w:r>
      <w:r>
        <w:rPr>
          <w:rFonts w:ascii="Calibri" w:hAnsi="Calibri" w:cs="Calibri"/>
          <w:color w:val="333333"/>
          <w:sz w:val="22"/>
        </w:rPr>
        <w:t xml:space="preserve"> esperar lineamientos STPS (1 enero 2027) y construir el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export (CSV/JSON firmado) + API de acceso para la autoridad.</w:t>
      </w:r>
    </w:p>
    <w:p>
      <w:pPr>
        <w:pStyle w:val="ListNumber"/>
      </w:pPr>
      <w:r>
        <w:rPr>
          <w:rFonts w:ascii="Calibri" w:hAnsi="Calibri" w:cs="Calibri"/>
          <w:b/>
          <w:color w:val="333333"/>
          <w:sz w:val="22"/>
        </w:rPr>
        <w:t>Política de retención/archivado</w:t>
      </w:r>
      <w:r>
        <w:rPr>
          <w:rFonts w:ascii="Calibri" w:hAnsi="Calibri" w:cs="Calibri"/>
          <w:color w:val="333333"/>
          <w:sz w:val="22"/>
        </w:rPr>
        <w:t xml:space="preserve"> a 5+ años (cold storage / export periódico cifrado).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10. Fuentes (verificadas 2026-09-23)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Reforma constitucional jornada 40 h: [Holland &amp; Knight](https://www.hklaw.com/es/insights/publications/2026/03/mexico-officially-enacts-constitutional-reform), [gob.mx/STPS](https://www.gob.mx/stps/documentos/reduccion-de-la-jornada-laboral-a-40-horas-preguntas-frecuentes?state=published).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Decreto reforma LFT (registro electrónico, 1 mayo 2026): [DOF](https://dof.gob.mx/nota_detalle_popup.php?codigo=5786537), [Cámara de Diputados](https://www.diputados.gob.mx/LeyesBiblio/ref/lft/LFT_ref52_01may26.pdf).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Registro electrónico STPS 2027: [El Economista](https://www.eleconomista.com.mx/capital-humano/registro-electronico-jornada-laboral-explicado-20260915-833696.html), [Rankmi](https://www.rankmi.com/blog/control-de-asistencia-es-obligatorio-en-mexico-ante-jornada-de-40-horas).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Horas extras nuevas reglas: [Cronista](https://www.cronista.com/mexico/finanzas-economia/nuevas-reglas-para-las-horas-extras-en-mexico-como-se-pagaran-y-regularan-tras-la-reforma/), [gob.mx/STPS](https://www.gob.mx/stps/prensa/stps-reforma-laboral-de-40-horas-reduce-jornada-sin-disminuir-salarios-y-establece-limites-claros-a-horas-extra?idiom=es).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Conservación + Art. 784: [El Contribuyente](https://www.elcontribuyente.mx/2024/07/cuanto-tiempo-se-debe-conservar-la-documentacion-laboral/), [Conceptos Jurídicos](https://www.conceptosjuridicos.com/mx/articulos/ley-federal-del-trabajo-articulo-784/).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LFPDPPP biométricos/geolocalización: [Rankmi](https://www.rankmi.com/blog/checador-reconocimiento-facial-ley-datos-personales-mexico), [diputados.gob.mx LFPDPPP](https://www.diputados.gob.mx/LeyesBiblio/pdf/LFPDPPP.pdf).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⚠️ Nota: los detalles operativos del registro electrónico (formato, excepciones, gradualidad) dependen de las </w:t>
      </w:r>
      <w:r>
        <w:rPr>
          <w:rFonts w:ascii="Calibri" w:hAnsi="Calibri" w:cs="Calibri"/>
          <w:b/>
          <w:color w:val="333333"/>
          <w:sz w:val="21"/>
        </w:rPr>
        <w:t>disposiciones de carácter general de la STPS</w:t>
      </w:r>
      <w:r>
        <w:rPr>
          <w:rFonts w:ascii="Calibri" w:hAnsi="Calibri" w:cs="Calibri"/>
          <w:color w:val="333333"/>
          <w:sz w:val="21"/>
        </w:rPr>
        <w:t xml:space="preserve">, que entran en vigor el </w:t>
      </w:r>
      <w:r>
        <w:rPr>
          <w:rFonts w:ascii="Calibri" w:hAnsi="Calibri" w:cs="Calibri"/>
          <w:b/>
          <w:color w:val="333333"/>
          <w:sz w:val="21"/>
        </w:rPr>
        <w:t>1 de enero de 2027</w:t>
      </w:r>
      <w:r>
        <w:rPr>
          <w:rFonts w:ascii="Calibri" w:hAnsi="Calibri" w:cs="Calibri"/>
          <w:color w:val="333333"/>
          <w:sz w:val="21"/>
        </w:rPr>
        <w:t xml:space="preserve">. Este documento se debe </w:t>
      </w:r>
      <w:r>
        <w:rPr>
          <w:rFonts w:ascii="Calibri" w:hAnsi="Calibri" w:cs="Calibri"/>
          <w:b/>
          <w:color w:val="333333"/>
          <w:sz w:val="21"/>
        </w:rPr>
        <w:t>revisar/actualizar</w:t>
      </w:r>
      <w:r>
        <w:rPr>
          <w:rFonts w:ascii="Calibri" w:hAnsi="Calibri" w:cs="Calibri"/>
          <w:color w:val="333333"/>
          <w:sz w:val="21"/>
        </w:rPr>
        <w:t xml:space="preserve"> cuando se publiquen.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16" w:space="4" w:color="F79646"/>
      </w:pBdr>
      <w:tabs>
        <w:tab w:pos="9360" w:val="right"/>
      </w:tabs>
    </w:pPr>
    <w:r/>
    <w:r>
      <w:drawing>
        <wp:inline xmlns:a="http://schemas.openxmlformats.org/drawingml/2006/main" xmlns:pic="http://schemas.openxmlformats.org/drawingml/2006/picture">
          <wp:extent cx="491561" cy="34747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_a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1561" cy="347472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rFonts w:ascii="Calibri" w:hAnsi="Calibri" w:cs="Calibri"/>
        <w:color w:val="595959"/>
        <w:sz w:val="18"/>
      </w:rPr>
      <w:t xml:space="preserve">Página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PAGE </w:instrText>
    </w:r>
    <w:r>
      <w:rPr>
        <w:rFonts w:ascii="Calibri" w:hAnsi="Calibri" w:cs="Calibri"/>
        <w:color w:val="595959"/>
        <w:sz w:val="18"/>
      </w:rPr>
      <w:fldChar w:fldCharType="end"/>
    </w:r>
    <w:r>
      <w:rPr>
        <w:rFonts w:ascii="Calibri" w:hAnsi="Calibri" w:cs="Calibri"/>
        <w:color w:val="595959"/>
        <w:sz w:val="18"/>
      </w:rPr>
      <w:t xml:space="preserve"> de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NUMPAGES </w:instrText>
    </w:r>
    <w:r>
      <w:rPr>
        <w:rFonts w:ascii="Calibri" w:hAnsi="Calibri" w:cs="Calibri"/>
        <w:color w:val="59595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left"/>
      <w:pBdr>
        <w:bottom w:val="single" w:sz="16" w:space="4" w:color="F79646"/>
      </w:pBdr>
    </w:pPr>
    <w:r/>
    <w:r>
      <w:drawing>
        <wp:inline xmlns:a="http://schemas.openxmlformats.org/drawingml/2006/main" xmlns:pic="http://schemas.openxmlformats.org/drawingml/2006/picture">
          <wp:extent cx="543184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3184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F7964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3864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2E559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60" w:after="6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2E5596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333333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333333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