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926080" cy="206883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in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206883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 w:cs="Calibri"/>
          <w:b/>
          <w:color w:val="1F3864"/>
          <w:sz w:val="24"/>
        </w:rPr>
        <w:t>Intelligence and Telecom Technologies de México</w:t>
      </w:r>
    </w:p>
    <w:p>
      <w:pPr>
        <w:jc w:val="center"/>
      </w:pPr>
      <w:r>
        <w:rPr>
          <w:rFonts w:ascii="Calibri" w:hAnsi="Calibri" w:cs="Calibri"/>
          <w:b/>
          <w:color w:val="F79646"/>
          <w:sz w:val="56"/>
        </w:rPr>
        <w:t>Plan de Cumplimiento LFT 2026–2027</w:t>
      </w:r>
    </w:p>
    <w:p>
      <w:pPr>
        <w:jc w:val="center"/>
      </w:pPr>
      <w:r>
        <w:rPr>
          <w:rFonts w:ascii="Calibri" w:hAnsi="Calibri" w:cs="Calibri"/>
          <w:b w:val="0"/>
          <w:i/>
          <w:color w:val="2E5596"/>
          <w:sz w:val="32"/>
        </w:rPr>
        <w:t>Asistencia Geo — Matriz R1–R10 y Fases F1–F7</w:t>
      </w:r>
    </w:p>
    <w:p/>
    <w:p>
      <w:pPr>
        <w:jc w:val="center"/>
      </w:pPr>
      <w:r>
        <w:rPr>
          <w:rFonts w:ascii="Calibri" w:hAnsi="Calibri" w:cs="Calibri"/>
          <w:color w:val="F79646"/>
          <w:sz w:val="24"/>
        </w:rPr>
        <w:t>────────────────────────────────────────</w:t>
      </w:r>
    </w:p>
    <w:p/>
    <w:p/>
    <w:p/>
    <w:p/>
    <w:p/>
    <w:p/>
    <w:p>
      <w:pPr>
        <w:jc w:val="center"/>
      </w:pPr>
      <w:r>
        <w:rPr>
          <w:rFonts w:ascii="Calibri" w:hAnsi="Calibri" w:cs="Calibri"/>
          <w:b/>
          <w:color w:val="1F3864"/>
          <w:sz w:val="24"/>
        </w:rPr>
        <w:t xml:space="preserve">Autor:  </w:t>
      </w:r>
      <w:r>
        <w:rPr>
          <w:rFonts w:ascii="Calibri" w:hAnsi="Calibri" w:cs="Calibri"/>
          <w:color w:val="333333"/>
          <w:sz w:val="24"/>
        </w:rPr>
        <w:t>Intelligence and Telecom Technologies de México</w:t>
      </w:r>
    </w:p>
    <w:p>
      <w:pPr>
        <w:jc w:val="center"/>
      </w:pPr>
      <w:r>
        <w:rPr>
          <w:rFonts w:ascii="Calibri" w:hAnsi="Calibri" w:cs="Calibri"/>
          <w:b/>
          <w:color w:val="1F3864"/>
          <w:sz w:val="24"/>
        </w:rPr>
        <w:t xml:space="preserve">Fecha:  </w:t>
      </w:r>
      <w:r>
        <w:rPr>
          <w:rFonts w:ascii="Calibri" w:hAnsi="Calibri" w:cs="Calibri"/>
          <w:color w:val="333333"/>
          <w:sz w:val="24"/>
        </w:rPr>
        <w:t>2026-10-20</w:t>
      </w:r>
    </w:p>
    <w:p>
      <w:pPr>
        <w:jc w:val="center"/>
      </w:pPr>
      <w:r>
        <w:rPr>
          <w:rFonts w:ascii="Calibri" w:hAnsi="Calibri" w:cs="Calibri"/>
          <w:b/>
          <w:color w:val="1F3864"/>
          <w:sz w:val="24"/>
        </w:rPr>
        <w:t xml:space="preserve">Versión:  </w:t>
      </w:r>
      <w:r>
        <w:rPr>
          <w:rFonts w:ascii="Calibri" w:hAnsi="Calibri" w:cs="Calibri"/>
          <w:color w:val="333333"/>
          <w:sz w:val="24"/>
        </w:rPr>
        <w:t>v1.0</w:t>
      </w:r>
    </w:p>
    <w:p>
      <w:r>
        <w:br w:type="page"/>
      </w:r>
    </w:p>
    <w:p>
      <w:pPr>
        <w:pStyle w:val="Heading1"/>
      </w:pPr>
      <w:r>
        <w:rPr>
          <w:rFonts w:ascii="Calibri" w:hAnsi="Calibri" w:cs="Calibri"/>
          <w:b/>
          <w:color w:val="F79646"/>
          <w:sz w:val="40"/>
        </w:rPr>
        <w:t>Plan de cumplimiento LFT 2026–2027 — Asistencia Geo</w:t>
      </w:r>
    </w:p>
    <w:p>
      <w:pPr>
        <w:spacing w:before="80" w:after="80"/>
        <w:ind w:left="432"/>
        <w:shd w:val="clear" w:color="auto" w:fill="FDF3E7"/>
        <w:pBdr>
          <w:top w:val="single" w:sz="4" w:space="8" w:color="F79646"/>
          <w:left w:val="single" w:sz="4" w:space="8" w:color="F79646"/>
          <w:bottom w:val="single" w:sz="4" w:space="8" w:color="F79646"/>
          <w:right w:val="single" w:sz="4" w:space="8" w:color="F79646"/>
        </w:pBdr>
      </w:pPr>
      <w:r>
        <w:rPr>
          <w:rFonts w:ascii="Calibri" w:hAnsi="Calibri" w:cs="Calibri"/>
          <w:color w:val="333333"/>
          <w:sz w:val="21"/>
        </w:rPr>
        <w:t xml:space="preserve">Objetivo: dejar el sistema </w:t>
      </w:r>
      <w:r>
        <w:rPr>
          <w:rFonts w:ascii="Calibri" w:hAnsi="Calibri" w:cs="Calibri"/>
          <w:b/>
          <w:color w:val="333333"/>
          <w:sz w:val="21"/>
        </w:rPr>
        <w:t>100 % conforme</w:t>
      </w:r>
      <w:r>
        <w:rPr>
          <w:rFonts w:ascii="Calibri" w:hAnsi="Calibri" w:cs="Calibri"/>
          <w:color w:val="333333"/>
          <w:sz w:val="21"/>
        </w:rPr>
        <w:t xml:space="preserve"> con la Ley Federal del Trabajo (reformas 2026) y su marco normativo asociado (LFPDPPP, NOM-037, Ley Silla).  Estado: </w:t>
      </w:r>
      <w:r>
        <w:rPr>
          <w:rFonts w:ascii="Calibri" w:hAnsi="Calibri" w:cs="Calibri"/>
          <w:b/>
          <w:color w:val="333333"/>
          <w:sz w:val="21"/>
        </w:rPr>
        <w:t>desplegado en producción</w:t>
      </w:r>
      <w:r>
        <w:rPr>
          <w:rFonts w:ascii="Calibri" w:hAnsi="Calibri" w:cs="Calibri"/>
          <w:color w:val="333333"/>
          <w:sz w:val="21"/>
        </w:rPr>
        <w:t xml:space="preserve"> (Linode) — código F1–F7 + migraciones </w:t>
      </w:r>
      <w:r>
        <w:rPr>
          <w:rFonts w:ascii="Consolas" w:hAnsi="Consolas" w:cs="Consolas"/>
          <w:color w:val="C0392B"/>
          <w:sz w:val="18"/>
        </w:rPr>
        <w:t>db/004</w:t>
      </w:r>
      <w:r>
        <w:rPr>
          <w:rFonts w:ascii="Calibri" w:hAnsi="Calibri" w:cs="Calibri"/>
          <w:color w:val="333333"/>
          <w:sz w:val="21"/>
        </w:rPr>
        <w:t>–</w:t>
      </w:r>
      <w:r>
        <w:rPr>
          <w:rFonts w:ascii="Consolas" w:hAnsi="Consolas" w:cs="Consolas"/>
          <w:color w:val="C0392B"/>
          <w:sz w:val="18"/>
        </w:rPr>
        <w:t>006</w:t>
      </w:r>
      <w:r>
        <w:rPr>
          <w:rFonts w:ascii="Calibri" w:hAnsi="Calibri" w:cs="Calibri"/>
          <w:color w:val="333333"/>
          <w:sz w:val="21"/>
        </w:rPr>
        <w:t xml:space="preserve"> + normalización de </w:t>
      </w:r>
      <w:r>
        <w:rPr>
          <w:rFonts w:ascii="Consolas" w:hAnsi="Consolas" w:cs="Consolas"/>
          <w:color w:val="C0392B"/>
          <w:sz w:val="18"/>
        </w:rPr>
        <w:t>legal_config</w:t>
      </w:r>
      <w:r>
        <w:rPr>
          <w:rFonts w:ascii="Calibri" w:hAnsi="Calibri" w:cs="Calibri"/>
          <w:color w:val="333333"/>
          <w:sz w:val="21"/>
        </w:rPr>
        <w:t xml:space="preserve"> (12/4/4) aplicados 2026-09-23/24. </w:t>
      </w:r>
      <w:r>
        <w:rPr>
          <w:rFonts w:ascii="Calibri" w:hAnsi="Calibri" w:cs="Calibri"/>
          <w:b/>
          <w:color w:val="333333"/>
          <w:sz w:val="21"/>
        </w:rPr>
        <w:t>100 % conforme.</w:t>
      </w:r>
      <w:r>
        <w:rPr>
          <w:rFonts w:ascii="Calibri" w:hAnsi="Calibri" w:cs="Calibri"/>
          <w:color w:val="333333"/>
          <w:sz w:val="21"/>
        </w:rPr>
        <w:t xml:space="preserve"> Último entregable F7 (app móvil v0.4.0): consentimiento LFPDPPP + PIN vs biometría, compilado y publicado 2026-09-23.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1. Resumen ejecutivo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El sistema ya tiene una base sólida: registro de asistencia **inmutable con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cadena de hash**, consentimientos por tipo, cifrado de PII, anti-spoofing,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geocercas y reporte de nómina. Lo que falta es **actualizar las reglas de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negocio a las reformas 2026</w:t>
      </w:r>
      <w:r>
        <w:rPr>
          <w:rFonts w:ascii="Calibri" w:hAnsi="Calibri" w:cs="Calibri"/>
          <w:b/>
          <w:color w:val="333333"/>
          <w:sz w:val="22"/>
        </w:rPr>
        <w:t xml:space="preserve"> (horas extra y jornada) y </w:t>
      </w:r>
      <w:r>
        <w:rPr>
          <w:rFonts w:ascii="Calibri" w:hAnsi="Calibri" w:cs="Calibri"/>
          <w:color w:val="333333"/>
          <w:sz w:val="22"/>
        </w:rPr>
        <w:t>cerrar los gaps de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proceso/privacidad/export** que la LFT y la LFPDPPP exigen.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Matriz de estado: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#</w:t>
            </w:r>
          </w:p>
        </w:tc>
        <w:tc>
          <w:tcPr>
            <w:tcW w:type="dxa" w:w="1872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Requisito legal</w:t>
            </w:r>
          </w:p>
        </w:tc>
        <w:tc>
          <w:tcPr>
            <w:tcW w:type="dxa" w:w="1872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Norma</w:t>
            </w:r>
          </w:p>
        </w:tc>
        <w:tc>
          <w:tcPr>
            <w:tcW w:type="dxa" w:w="1872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Estado</w:t>
            </w:r>
          </w:p>
        </w:tc>
        <w:tc>
          <w:tcPr>
            <w:tcW w:type="dxa" w:w="1872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Fase</w:t>
            </w:r>
          </w:p>
        </w:tc>
      </w:tr>
      <w:tr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R1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Registro electrónico de jornada (inicio/fin)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Art. 132 fr. XXXIV LFT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✅ Inmutable + hash + export STPS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F5 (hecha)</w:t>
            </w:r>
          </w:p>
        </w:tc>
      </w:tr>
      <w:tr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R2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Jornada semanal máxima gradual (46→40 h)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Reforma constitucional 3-mar-2026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✅ Parametrizada + alerta de exceso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F2 (hecha)</w:t>
            </w:r>
          </w:p>
        </w:tc>
      </w:tr>
      <w:tr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R3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Horas extra 12 h/sem, 4 h/día, 4 días/sem, doble/triple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Art. 66-68 LFT reformados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 xml:space="preserve">✅ </w:t>
            </w:r>
            <w:r>
              <w:rPr>
                <w:rFonts w:ascii="Consolas" w:hAnsi="Consolas" w:cs="Consolas"/>
                <w:color w:val="C0392B"/>
                <w:sz w:val="17"/>
              </w:rPr>
              <w:t>legal_config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 12/4/4 + código desplegado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F1 (desplegada)</w:t>
            </w:r>
          </w:p>
        </w:tc>
      </w:tr>
      <w:tr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R4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Conservación de registros ≥5 años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Art. 804 LFT, LSS, CFF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✅ Append-only + hash + respaldo diario 5 años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F6 (hecha)</w:t>
            </w:r>
          </w:p>
        </w:tc>
      </w:tr>
      <w:tr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R5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Carga de la prueba al patrón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Art. 784 LFT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✅ Inmutabilidad + hash + export verificable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F5 (hecha)</w:t>
            </w:r>
          </w:p>
        </w:tc>
      </w:tr>
      <w:tr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R6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Consentimiento escrito + alternativa no biométrica + GPS limitado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LFPDPPP (SABG)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✅ Endpoint consentimiento + config biométrica + UI móvil v0.4.0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F3/F4/F7 (hechas)</w:t>
            </w:r>
          </w:p>
        </w:tc>
      </w:tr>
      <w:tr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R7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Constancias (días trabajados, salario)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Art. 132 fr. VI-VIII LFT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 xml:space="preserve">✅ </w:t>
            </w:r>
            <w:r>
              <w:rPr>
                <w:rFonts w:ascii="Consolas" w:hAnsi="Consolas" w:cs="Consolas"/>
                <w:color w:val="C0392B"/>
                <w:sz w:val="17"/>
              </w:rPr>
              <w:t>GET /reports/constancia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F5 (hecha)</w:t>
            </w:r>
          </w:p>
        </w:tc>
      </w:tr>
      <w:tr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R8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Teletrabajo / derecho a desconexión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NOM-037-STPS-2023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✅ Pausas + perfil remoto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—</w:t>
            </w:r>
          </w:p>
        </w:tc>
      </w:tr>
      <w:tr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R9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Ley Silla (asientos)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Ley Silla (dic 2025)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N/A software (documentar)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F6</w:t>
            </w:r>
          </w:p>
        </w:tc>
      </w:tr>
      <w:tr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R10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Prohibición horas extra a menores 18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Art. 5, 22-23 LFT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 xml:space="preserve">✅ </w:t>
            </w:r>
            <w:r>
              <w:rPr>
                <w:rFonts w:ascii="Consolas" w:hAnsi="Consolas" w:cs="Consolas"/>
                <w:color w:val="C0392B"/>
                <w:sz w:val="17"/>
              </w:rPr>
              <w:t>birth_date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 + bloqueo de extra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F4 (hecha)</w:t>
            </w:r>
          </w:p>
        </w:tc>
      </w:tr>
    </w:tbl>
    <w:p>
      <w:pPr>
        <w:spacing w:after="40"/>
      </w:pP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2. Fases de trabajo</w:t>
      </w:r>
    </w:p>
    <w:p>
      <w:pPr>
        <w:pStyle w:val="Heading3"/>
      </w:pPr>
      <w:r>
        <w:rPr>
          <w:rFonts w:ascii="Calibri" w:hAnsi="Calibri" w:cs="Calibri"/>
          <w:b/>
          <w:color w:val="2E5596"/>
          <w:sz w:val="24"/>
        </w:rPr>
        <w:t>Fase 1 — Reglas de horas extra (código puro, testeable) · EN CURSO</w:t>
      </w:r>
    </w:p>
    <w:p>
      <w:pPr>
        <w:spacing w:after="120"/>
        <w:jc w:val="both"/>
      </w:pPr>
      <w:r>
        <w:rPr>
          <w:rFonts w:ascii="Calibri" w:hAnsi="Calibri" w:cs="Calibri"/>
          <w:b/>
          <w:color w:val="333333"/>
          <w:sz w:val="22"/>
        </w:rPr>
        <w:t>Archivos:</w:t>
      </w:r>
      <w:r>
        <w:rPr>
          <w:rFonts w:ascii="Calibri" w:hAnsi="Calibri" w:cs="Calibri"/>
          <w:color w:val="333333"/>
          <w:sz w:val="22"/>
        </w:rPr>
        <w:t xml:space="preserve"> </w:t>
      </w:r>
      <w:r>
        <w:rPr>
          <w:rFonts w:ascii="Consolas" w:hAnsi="Consolas" w:cs="Consolas"/>
          <w:color w:val="C0392B"/>
          <w:sz w:val="19"/>
        </w:rPr>
        <w:t>backend/app/services/payroll_rules.py</w:t>
      </w:r>
      <w:r>
        <w:rPr>
          <w:rFonts w:ascii="Calibri" w:hAnsi="Calibri" w:cs="Calibri"/>
          <w:color w:val="333333"/>
          <w:sz w:val="22"/>
        </w:rPr>
        <w:t xml:space="preserve">, </w:t>
      </w:r>
      <w:r>
        <w:rPr>
          <w:rFonts w:ascii="Consolas" w:hAnsi="Consolas" w:cs="Consolas"/>
          <w:color w:val="C0392B"/>
          <w:sz w:val="19"/>
        </w:rPr>
        <w:t>reports.py</w:t>
      </w:r>
      <w:r>
        <w:rPr>
          <w:rFonts w:ascii="Calibri" w:hAnsi="Calibri" w:cs="Calibri"/>
          <w:color w:val="333333"/>
          <w:sz w:val="22"/>
        </w:rPr>
        <w:t xml:space="preserve">, </w:t>
      </w:r>
      <w:r>
        <w:rPr>
          <w:rFonts w:ascii="Consolas" w:hAnsi="Consolas" w:cs="Consolas"/>
          <w:color w:val="C0392B"/>
          <w:sz w:val="19"/>
        </w:rPr>
        <w:t>config.py</w:t>
      </w:r>
      <w:r>
        <w:rPr>
          <w:rFonts w:ascii="Calibri" w:hAnsi="Calibri" w:cs="Calibri"/>
          <w:color w:val="333333"/>
          <w:sz w:val="22"/>
        </w:rPr>
        <w:t>,</w:t>
      </w:r>
    </w:p>
    <w:p>
      <w:pPr>
        <w:spacing w:after="120"/>
        <w:jc w:val="both"/>
      </w:pPr>
      <w:r>
        <w:rPr>
          <w:rFonts w:ascii="Consolas" w:hAnsi="Consolas" w:cs="Consolas"/>
          <w:color w:val="C0392B"/>
          <w:sz w:val="19"/>
        </w:rPr>
        <w:t>db/002_seed.sql</w:t>
      </w:r>
      <w:r>
        <w:rPr>
          <w:rFonts w:ascii="Calibri" w:hAnsi="Calibri" w:cs="Calibri"/>
          <w:color w:val="333333"/>
          <w:sz w:val="22"/>
        </w:rPr>
        <w:t xml:space="preserve">, </w:t>
      </w:r>
      <w:r>
        <w:rPr>
          <w:rFonts w:ascii="Consolas" w:hAnsi="Consolas" w:cs="Consolas"/>
          <w:color w:val="C0392B"/>
          <w:sz w:val="19"/>
        </w:rPr>
        <w:t>tests/test_payroll_rules.py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[x] Constantes nuevas: </w:t>
      </w:r>
      <w:r>
        <w:rPr>
          <w:rFonts w:ascii="Consolas" w:hAnsi="Consolas" w:cs="Consolas"/>
          <w:color w:val="C0392B"/>
          <w:sz w:val="19"/>
        </w:rPr>
        <w:t>WEEKLY_OT_LIMIT_HOURS = 12.0</w:t>
      </w:r>
      <w:r>
        <w:rPr>
          <w:rFonts w:ascii="Calibri" w:hAnsi="Calibri" w:cs="Calibri"/>
          <w:color w:val="333333"/>
          <w:sz w:val="22"/>
        </w:rPr>
        <w:t xml:space="preserve">, </w:t>
      </w:r>
      <w:r>
        <w:rPr>
          <w:rFonts w:ascii="Consolas" w:hAnsi="Consolas" w:cs="Consolas"/>
          <w:color w:val="C0392B"/>
          <w:sz w:val="19"/>
        </w:rPr>
        <w:t>DAILY_OT_LIMIT_HOURS = 4.0</w:t>
      </w:r>
      <w:r>
        <w:rPr>
          <w:rFonts w:ascii="Calibri" w:hAnsi="Calibri" w:cs="Calibri"/>
          <w:color w:val="333333"/>
          <w:sz w:val="22"/>
        </w:rPr>
        <w:t>,</w:t>
      </w:r>
    </w:p>
    <w:p>
      <w:pPr>
        <w:spacing w:after="120"/>
        <w:jc w:val="both"/>
      </w:pPr>
      <w:r>
        <w:rPr>
          <w:rFonts w:ascii="Consolas" w:hAnsi="Consolas" w:cs="Consolas"/>
          <w:color w:val="C0392B"/>
          <w:sz w:val="19"/>
        </w:rPr>
        <w:t>MAX_OT_DAYS_PER_WEEK = 4</w:t>
      </w:r>
      <w:r>
        <w:rPr>
          <w:rFonts w:ascii="Calibri" w:hAnsi="Calibri" w:cs="Calibri"/>
          <w:color w:val="333333"/>
          <w:sz w:val="22"/>
        </w:rPr>
        <w:t xml:space="preserve">, </w:t>
      </w:r>
      <w:r>
        <w:rPr>
          <w:rFonts w:ascii="Consolas" w:hAnsi="Consolas" w:cs="Consolas"/>
          <w:color w:val="C0392B"/>
          <w:sz w:val="19"/>
        </w:rPr>
        <w:t>MAX_DAILY_TOTAL_HOURS = 12.0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[x] </w:t>
      </w:r>
      <w:r>
        <w:rPr>
          <w:rFonts w:ascii="Consolas" w:hAnsi="Consolas" w:cs="Consolas"/>
          <w:color w:val="C0392B"/>
          <w:sz w:val="19"/>
        </w:rPr>
        <w:t>compute_workday</w:t>
      </w:r>
      <w:r>
        <w:rPr>
          <w:rFonts w:ascii="Calibri" w:hAnsi="Calibri" w:cs="Calibri"/>
          <w:color w:val="333333"/>
          <w:sz w:val="22"/>
        </w:rPr>
        <w:t>: tope diario 4 h extra + total diario ≤ 12 h.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[x] </w:t>
      </w:r>
      <w:r>
        <w:rPr>
          <w:rFonts w:ascii="Consolas" w:hAnsi="Consolas" w:cs="Consolas"/>
          <w:color w:val="C0392B"/>
          <w:sz w:val="19"/>
        </w:rPr>
        <w:t>analyze_weekly_overtime</w:t>
      </w:r>
      <w:r>
        <w:rPr>
          <w:rFonts w:ascii="Calibri" w:hAnsi="Calibri" w:cs="Calibri"/>
          <w:color w:val="333333"/>
          <w:sz w:val="22"/>
        </w:rPr>
        <w:t>: reparto doble/triple considerando los 3 límites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(semanal 12 h, diario 4 h, 4 días/semana).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[x] </w:t>
      </w:r>
      <w:r>
        <w:rPr>
          <w:rFonts w:ascii="Consolas" w:hAnsi="Consolas" w:cs="Consolas"/>
          <w:color w:val="C0392B"/>
          <w:sz w:val="19"/>
        </w:rPr>
        <w:t>weekly_jornada_hours_for(year)</w:t>
      </w:r>
      <w:r>
        <w:rPr>
          <w:rFonts w:ascii="Calibri" w:hAnsi="Calibri" w:cs="Calibri"/>
          <w:color w:val="333333"/>
          <w:sz w:val="22"/>
        </w:rPr>
        <w:t>: jornada semanal legal por año.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[x] </w:t>
      </w:r>
      <w:r>
        <w:rPr>
          <w:rFonts w:ascii="Consolas" w:hAnsi="Consolas" w:cs="Consolas"/>
          <w:color w:val="C0392B"/>
          <w:sz w:val="19"/>
        </w:rPr>
        <w:t>reports.py</w:t>
      </w:r>
      <w:r>
        <w:rPr>
          <w:rFonts w:ascii="Calibri" w:hAnsi="Calibri" w:cs="Calibri"/>
          <w:color w:val="333333"/>
          <w:sz w:val="22"/>
        </w:rPr>
        <w:t xml:space="preserve">: usar </w:t>
      </w:r>
      <w:r>
        <w:rPr>
          <w:rFonts w:ascii="Consolas" w:hAnsi="Consolas" w:cs="Consolas"/>
          <w:color w:val="C0392B"/>
          <w:sz w:val="19"/>
        </w:rPr>
        <w:t>analyze_weekly_overtime</w:t>
      </w:r>
      <w:r>
        <w:rPr>
          <w:rFonts w:ascii="Calibri" w:hAnsi="Calibri" w:cs="Calibri"/>
          <w:color w:val="333333"/>
          <w:sz w:val="22"/>
        </w:rPr>
        <w:t xml:space="preserve"> en el timesheet.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[x] Tests actualizados y verdes.</w:t>
      </w:r>
    </w:p>
    <w:p>
      <w:pPr>
        <w:pStyle w:val="Heading3"/>
      </w:pPr>
      <w:r>
        <w:rPr>
          <w:rFonts w:ascii="Calibri" w:hAnsi="Calibri" w:cs="Calibri"/>
          <w:b/>
          <w:color w:val="2E5596"/>
          <w:sz w:val="24"/>
        </w:rPr>
        <w:t>Fase 2 — Jornada máxima parametrizada por año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[x] </w:t>
      </w:r>
      <w:r>
        <w:rPr>
          <w:rFonts w:ascii="Consolas" w:hAnsi="Consolas" w:cs="Consolas"/>
          <w:color w:val="C0392B"/>
          <w:sz w:val="19"/>
        </w:rPr>
        <w:t>legal_config</w:t>
      </w:r>
      <w:r>
        <w:rPr>
          <w:rFonts w:ascii="Calibri" w:hAnsi="Calibri" w:cs="Calibri"/>
          <w:color w:val="333333"/>
          <w:sz w:val="22"/>
        </w:rPr>
        <w:t xml:space="preserve"> con </w:t>
      </w:r>
      <w:r>
        <w:rPr>
          <w:rFonts w:ascii="Consolas" w:hAnsi="Consolas" w:cs="Consolas"/>
          <w:color w:val="C0392B"/>
          <w:sz w:val="19"/>
        </w:rPr>
        <w:t>jornada_semanal_horas</w:t>
      </w:r>
      <w:r>
        <w:rPr>
          <w:rFonts w:ascii="Calibri" w:hAnsi="Calibri" w:cs="Calibri"/>
          <w:color w:val="333333"/>
          <w:sz w:val="22"/>
        </w:rPr>
        <w:t xml:space="preserve"> por año (48/46/44/42/40);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helper </w:t>
      </w:r>
      <w:r>
        <w:rPr>
          <w:rFonts w:ascii="Consolas" w:hAnsi="Consolas" w:cs="Consolas"/>
          <w:color w:val="C0392B"/>
          <w:sz w:val="19"/>
        </w:rPr>
        <w:t>resolve_weekly_jornada_limit</w:t>
      </w:r>
      <w:r>
        <w:rPr>
          <w:rFonts w:ascii="Calibri" w:hAnsi="Calibri" w:cs="Calibri"/>
          <w:color w:val="333333"/>
          <w:sz w:val="22"/>
        </w:rPr>
        <w:t xml:space="preserve"> en </w:t>
      </w:r>
      <w:r>
        <w:rPr>
          <w:rFonts w:ascii="Consolas" w:hAnsi="Consolas" w:cs="Consolas"/>
          <w:color w:val="C0392B"/>
          <w:sz w:val="19"/>
        </w:rPr>
        <w:t>app/services/compliance.py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[x] El timesheet ahora devuelve </w:t>
      </w:r>
      <w:r>
        <w:rPr>
          <w:rFonts w:ascii="Consolas" w:hAnsi="Consolas" w:cs="Consolas"/>
          <w:color w:val="C0392B"/>
          <w:sz w:val="19"/>
        </w:rPr>
        <w:t>jornada_semanal_horas</w:t>
      </w:r>
      <w:r>
        <w:rPr>
          <w:rFonts w:ascii="Calibri" w:hAnsi="Calibri" w:cs="Calibri"/>
          <w:color w:val="333333"/>
          <w:sz w:val="22"/>
        </w:rPr>
        <w:t xml:space="preserve"> y </w:t>
      </w:r>
      <w:r>
        <w:rPr>
          <w:rFonts w:ascii="Consolas" w:hAnsi="Consolas" w:cs="Consolas"/>
          <w:color w:val="C0392B"/>
          <w:sz w:val="19"/>
        </w:rPr>
        <w:t>exceso_jornada_semanal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(alerta cuando las horas de la semana exceden la jornada legal).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[x] Endpoint admin </w:t>
      </w:r>
      <w:r>
        <w:rPr>
          <w:rFonts w:ascii="Consolas" w:hAnsi="Consolas" w:cs="Consolas"/>
          <w:color w:val="C0392B"/>
          <w:sz w:val="19"/>
        </w:rPr>
        <w:t>GET/PUT /admin/legal-config</w:t>
      </w:r>
      <w:r>
        <w:rPr>
          <w:rFonts w:ascii="Calibri" w:hAnsi="Calibri" w:cs="Calibri"/>
          <w:color w:val="333333"/>
          <w:sz w:val="22"/>
        </w:rPr>
        <w:t xml:space="preserve"> (consulta/edita parámetros legales).</w:t>
      </w:r>
    </w:p>
    <w:p>
      <w:pPr>
        <w:pStyle w:val="Heading3"/>
      </w:pPr>
      <w:r>
        <w:rPr>
          <w:rFonts w:ascii="Calibri" w:hAnsi="Calibri" w:cs="Calibri"/>
          <w:b/>
          <w:color w:val="2E5596"/>
          <w:sz w:val="24"/>
        </w:rPr>
        <w:t>Fase 3 — Consentimiento (LFPDPPP)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[x] Modelo </w:t>
      </w:r>
      <w:r>
        <w:rPr>
          <w:rFonts w:ascii="Consolas" w:hAnsi="Consolas" w:cs="Consolas"/>
          <w:color w:val="C0392B"/>
          <w:sz w:val="19"/>
        </w:rPr>
        <w:t>Consent</w:t>
      </w:r>
      <w:r>
        <w:rPr>
          <w:rFonts w:ascii="Calibri" w:hAnsi="Calibri" w:cs="Calibri"/>
          <w:color w:val="333333"/>
          <w:sz w:val="22"/>
        </w:rPr>
        <w:t xml:space="preserve">: </w:t>
      </w:r>
      <w:r>
        <w:rPr>
          <w:rFonts w:ascii="Consolas" w:hAnsi="Consolas" w:cs="Consolas"/>
          <w:color w:val="C0392B"/>
          <w:sz w:val="19"/>
        </w:rPr>
        <w:t>document_version</w:t>
      </w:r>
      <w:r>
        <w:rPr>
          <w:rFonts w:ascii="Calibri" w:hAnsi="Calibri" w:cs="Calibri"/>
          <w:color w:val="333333"/>
          <w:sz w:val="22"/>
        </w:rPr>
        <w:t xml:space="preserve">, </w:t>
      </w:r>
      <w:r>
        <w:rPr>
          <w:rFonts w:ascii="Consolas" w:hAnsi="Consolas" w:cs="Consolas"/>
          <w:color w:val="C0392B"/>
          <w:sz w:val="19"/>
        </w:rPr>
        <w:t>written_ack</w:t>
      </w:r>
      <w:r>
        <w:rPr>
          <w:rFonts w:ascii="Calibri" w:hAnsi="Calibri" w:cs="Calibri"/>
          <w:color w:val="333333"/>
          <w:sz w:val="22"/>
        </w:rPr>
        <w:t xml:space="preserve"> (acuse escrito) y</w:t>
      </w:r>
    </w:p>
    <w:p>
      <w:pPr>
        <w:spacing w:after="120"/>
        <w:jc w:val="both"/>
      </w:pPr>
      <w:r>
        <w:rPr>
          <w:rFonts w:ascii="Consolas" w:hAnsi="Consolas" w:cs="Consolas"/>
          <w:color w:val="C0392B"/>
          <w:sz w:val="19"/>
        </w:rPr>
        <w:t>revoked_at</w:t>
      </w:r>
      <w:r>
        <w:rPr>
          <w:rFonts w:ascii="Calibri" w:hAnsi="Calibri" w:cs="Calibri"/>
          <w:color w:val="333333"/>
          <w:sz w:val="22"/>
        </w:rPr>
        <w:t xml:space="preserve"> (revocación) + migración </w:t>
      </w:r>
      <w:r>
        <w:rPr>
          <w:rFonts w:ascii="Consolas" w:hAnsi="Consolas" w:cs="Consolas"/>
          <w:color w:val="C0392B"/>
          <w:sz w:val="19"/>
        </w:rPr>
        <w:t>db/005_consents.sql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[x] Endpoint </w:t>
      </w:r>
      <w:r>
        <w:rPr>
          <w:rFonts w:ascii="Consolas" w:hAnsi="Consolas" w:cs="Consolas"/>
          <w:color w:val="C0392B"/>
          <w:sz w:val="19"/>
        </w:rPr>
        <w:t>POST /consents</w:t>
      </w:r>
      <w:r>
        <w:rPr>
          <w:rFonts w:ascii="Calibri" w:hAnsi="Calibri" w:cs="Calibri"/>
          <w:color w:val="333333"/>
          <w:sz w:val="22"/>
        </w:rPr>
        <w:t xml:space="preserve"> (registro por tipo y versión, IP + user-agent);</w:t>
      </w:r>
    </w:p>
    <w:p>
      <w:pPr>
        <w:spacing w:after="120"/>
        <w:jc w:val="both"/>
      </w:pPr>
      <w:r>
        <w:rPr>
          <w:rFonts w:ascii="Consolas" w:hAnsi="Consolas" w:cs="Consolas"/>
          <w:color w:val="C0392B"/>
          <w:sz w:val="19"/>
        </w:rPr>
        <w:t>GET /consents/me</w:t>
      </w:r>
      <w:r>
        <w:rPr>
          <w:rFonts w:ascii="Calibri" w:hAnsi="Calibri" w:cs="Calibri"/>
          <w:color w:val="333333"/>
          <w:sz w:val="22"/>
        </w:rPr>
        <w:t xml:space="preserve">, </w:t>
      </w:r>
      <w:r>
        <w:rPr>
          <w:rFonts w:ascii="Consolas" w:hAnsi="Consolas" w:cs="Consolas"/>
          <w:color w:val="C0392B"/>
          <w:sz w:val="19"/>
        </w:rPr>
        <w:t>GET /consents/required</w:t>
      </w:r>
      <w:r>
        <w:rPr>
          <w:rFonts w:ascii="Calibri" w:hAnsi="Calibri" w:cs="Calibri"/>
          <w:color w:val="333333"/>
          <w:sz w:val="22"/>
        </w:rPr>
        <w:t xml:space="preserve">, </w:t>
      </w:r>
      <w:r>
        <w:rPr>
          <w:rFonts w:ascii="Consolas" w:hAnsi="Consolas" w:cs="Consolas"/>
          <w:color w:val="C0392B"/>
          <w:sz w:val="19"/>
        </w:rPr>
        <w:t>POST /consents/{id}/revoke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[x] </w:t>
      </w:r>
      <w:r>
        <w:rPr>
          <w:rFonts w:ascii="Consolas" w:hAnsi="Consolas" w:cs="Consolas"/>
          <w:color w:val="C0392B"/>
          <w:sz w:val="19"/>
        </w:rPr>
        <w:t>users.consented_at</w:t>
      </w:r>
      <w:r>
        <w:rPr>
          <w:rFonts w:ascii="Calibri" w:hAnsi="Calibri" w:cs="Calibri"/>
          <w:color w:val="333333"/>
          <w:sz w:val="22"/>
        </w:rPr>
        <w:t xml:space="preserve"> enlazado al alta del aviso de privacidad global (</w:t>
      </w:r>
      <w:r>
        <w:rPr>
          <w:rFonts w:ascii="Consolas" w:hAnsi="Consolas" w:cs="Consolas"/>
          <w:color w:val="C0392B"/>
          <w:sz w:val="19"/>
        </w:rPr>
        <w:t>data</w:t>
      </w:r>
      <w:r>
        <w:rPr>
          <w:rFonts w:ascii="Calibri" w:hAnsi="Calibri" w:cs="Calibri"/>
          <w:color w:val="333333"/>
          <w:sz w:val="22"/>
        </w:rPr>
        <w:t>).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[x] (F7) UI móvil con texto legal por tipo y checkbox (aceptación escrita).</w:t>
      </w:r>
    </w:p>
    <w:p>
      <w:pPr>
        <w:pStyle w:val="Heading3"/>
      </w:pPr>
      <w:r>
        <w:rPr>
          <w:rFonts w:ascii="Calibri" w:hAnsi="Calibri" w:cs="Calibri"/>
          <w:b/>
          <w:color w:val="2E5596"/>
          <w:sz w:val="24"/>
        </w:rPr>
        <w:t>Fase 4 — Alternativa no biométrica + menores de edad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[x] Config LFPDPPP en </w:t>
      </w:r>
      <w:r>
        <w:rPr>
          <w:rFonts w:ascii="Consolas" w:hAnsi="Consolas" w:cs="Consolas"/>
          <w:color w:val="C0392B"/>
          <w:sz w:val="19"/>
        </w:rPr>
        <w:t>legal_config</w:t>
      </w:r>
      <w:r>
        <w:rPr>
          <w:rFonts w:ascii="Calibri" w:hAnsi="Calibri" w:cs="Calibri"/>
          <w:color w:val="333333"/>
          <w:sz w:val="22"/>
        </w:rPr>
        <w:t xml:space="preserve">: </w:t>
      </w:r>
      <w:r>
        <w:rPr>
          <w:rFonts w:ascii="Consolas" w:hAnsi="Consolas" w:cs="Consolas"/>
          <w:color w:val="C0392B"/>
          <w:sz w:val="19"/>
        </w:rPr>
        <w:t>auth_biometrica_obligatoria</w:t>
      </w:r>
      <w:r>
        <w:rPr>
          <w:rFonts w:ascii="Calibri" w:hAnsi="Calibri" w:cs="Calibri"/>
          <w:color w:val="333333"/>
          <w:sz w:val="22"/>
        </w:rPr>
        <w:t xml:space="preserve"> (def. false)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y </w:t>
      </w:r>
      <w:r>
        <w:rPr>
          <w:rFonts w:ascii="Consolas" w:hAnsi="Consolas" w:cs="Consolas"/>
          <w:color w:val="C0392B"/>
          <w:sz w:val="19"/>
        </w:rPr>
        <w:t>permitir_alternativa_no_biometrica</w:t>
      </w:r>
      <w:r>
        <w:rPr>
          <w:rFonts w:ascii="Calibri" w:hAnsi="Calibri" w:cs="Calibri"/>
          <w:color w:val="333333"/>
          <w:sz w:val="22"/>
        </w:rPr>
        <w:t xml:space="preserve"> (def. true); helper</w:t>
      </w:r>
    </w:p>
    <w:p>
      <w:pPr>
        <w:spacing w:after="120"/>
        <w:jc w:val="both"/>
      </w:pPr>
      <w:r>
        <w:rPr>
          <w:rFonts w:ascii="Consolas" w:hAnsi="Consolas" w:cs="Consolas"/>
          <w:color w:val="C0392B"/>
          <w:sz w:val="19"/>
        </w:rPr>
        <w:t>biometric_alternative_allowed</w:t>
      </w:r>
      <w:r>
        <w:rPr>
          <w:rFonts w:ascii="Calibri" w:hAnsi="Calibri" w:cs="Calibri"/>
          <w:color w:val="333333"/>
          <w:sz w:val="22"/>
        </w:rPr>
        <w:t xml:space="preserve"> en </w:t>
      </w:r>
      <w:r>
        <w:rPr>
          <w:rFonts w:ascii="Consolas" w:hAnsi="Consolas" w:cs="Consolas"/>
          <w:color w:val="C0392B"/>
          <w:sz w:val="19"/>
        </w:rPr>
        <w:t>compliance.py</w:t>
      </w:r>
      <w:r>
        <w:rPr>
          <w:rFonts w:ascii="Calibri" w:hAnsi="Calibri" w:cs="Calibri"/>
          <w:color w:val="333333"/>
          <w:sz w:val="22"/>
        </w:rPr>
        <w:t>. La alternativa</w:t>
      </w:r>
    </w:p>
    <w:p>
      <w:pPr>
        <w:spacing w:after="120"/>
        <w:jc w:val="both"/>
      </w:pPr>
      <w:r>
        <w:rPr>
          <w:rFonts w:ascii="Consolas" w:hAnsi="Consolas" w:cs="Consolas"/>
          <w:color w:val="C0392B"/>
          <w:sz w:val="19"/>
        </w:rPr>
        <w:t>auth_method = standard</w:t>
      </w:r>
      <w:r>
        <w:rPr>
          <w:rFonts w:ascii="Calibri" w:hAnsi="Calibri" w:cs="Calibri"/>
          <w:color w:val="333333"/>
          <w:sz w:val="22"/>
        </w:rPr>
        <w:t xml:space="preserve"> (PIN/password) queda garantizada por defecto.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[x] Campo </w:t>
      </w:r>
      <w:r>
        <w:rPr>
          <w:rFonts w:ascii="Consolas" w:hAnsi="Consolas" w:cs="Consolas"/>
          <w:color w:val="C0392B"/>
          <w:sz w:val="19"/>
        </w:rPr>
        <w:t>birth_date</w:t>
      </w:r>
      <w:r>
        <w:rPr>
          <w:rFonts w:ascii="Calibri" w:hAnsi="Calibri" w:cs="Calibri"/>
          <w:color w:val="333333"/>
          <w:sz w:val="22"/>
        </w:rPr>
        <w:t xml:space="preserve"> en </w:t>
      </w:r>
      <w:r>
        <w:rPr>
          <w:rFonts w:ascii="Consolas" w:hAnsi="Consolas" w:cs="Consolas"/>
          <w:color w:val="C0392B"/>
          <w:sz w:val="19"/>
        </w:rPr>
        <w:t>User</w:t>
      </w:r>
      <w:r>
        <w:rPr>
          <w:rFonts w:ascii="Calibri" w:hAnsi="Calibri" w:cs="Calibri"/>
          <w:color w:val="333333"/>
          <w:sz w:val="22"/>
        </w:rPr>
        <w:t xml:space="preserve"> (+ migración </w:t>
      </w:r>
      <w:r>
        <w:rPr>
          <w:rFonts w:ascii="Consolas" w:hAnsi="Consolas" w:cs="Consolas"/>
          <w:color w:val="C0392B"/>
          <w:sz w:val="19"/>
        </w:rPr>
        <w:t>db/004_lft_compliance.sql</w:t>
      </w:r>
      <w:r>
        <w:rPr>
          <w:rFonts w:ascii="Calibri" w:hAnsi="Calibri" w:cs="Calibri"/>
          <w:color w:val="333333"/>
          <w:sz w:val="22"/>
        </w:rPr>
        <w:t>,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endpoint </w:t>
      </w:r>
      <w:r>
        <w:rPr>
          <w:rFonts w:ascii="Consolas" w:hAnsi="Consolas" w:cs="Consolas"/>
          <w:color w:val="C0392B"/>
          <w:sz w:val="19"/>
        </w:rPr>
        <w:t>/employees</w:t>
      </w:r>
      <w:r>
        <w:rPr>
          <w:rFonts w:ascii="Calibri" w:hAnsi="Calibri" w:cs="Calibri"/>
          <w:color w:val="333333"/>
          <w:sz w:val="22"/>
        </w:rPr>
        <w:t xml:space="preserve"> lo expone/edita).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[x] </w:t>
      </w:r>
      <w:r>
        <w:rPr>
          <w:rFonts w:ascii="Consolas" w:hAnsi="Consolas" w:cs="Consolas"/>
          <w:color w:val="C0392B"/>
          <w:sz w:val="19"/>
        </w:rPr>
        <w:t>is_minor</w:t>
      </w:r>
      <w:r>
        <w:rPr>
          <w:rFonts w:ascii="Calibri" w:hAnsi="Calibri" w:cs="Calibri"/>
          <w:color w:val="333333"/>
          <w:sz w:val="22"/>
        </w:rPr>
        <w:t xml:space="preserve"> en </w:t>
      </w:r>
      <w:r>
        <w:rPr>
          <w:rFonts w:ascii="Consolas" w:hAnsi="Consolas" w:cs="Consolas"/>
          <w:color w:val="C0392B"/>
          <w:sz w:val="19"/>
        </w:rPr>
        <w:t>compliance.py</w:t>
      </w:r>
      <w:r>
        <w:rPr>
          <w:rFonts w:ascii="Calibri" w:hAnsi="Calibri" w:cs="Calibri"/>
          <w:color w:val="333333"/>
          <w:sz w:val="22"/>
        </w:rPr>
        <w:t xml:space="preserve">; el timesheet </w:t>
      </w:r>
      <w:r>
        <w:rPr>
          <w:rFonts w:ascii="Calibri" w:hAnsi="Calibri" w:cs="Calibri"/>
          <w:b/>
          <w:color w:val="333333"/>
          <w:sz w:val="22"/>
        </w:rPr>
        <w:t>anula las horas extra</w:t>
      </w:r>
      <w:r>
        <w:rPr>
          <w:rFonts w:ascii="Calibri" w:hAnsi="Calibri" w:cs="Calibri"/>
          <w:color w:val="333333"/>
          <w:sz w:val="22"/>
        </w:rPr>
        <w:t xml:space="preserve"> si el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empleado es menor de 18 (Art. 5 LFT).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[x] (F7) Toggle PIN vs biométrico en la app móvil leyendo esta config.</w:t>
      </w:r>
    </w:p>
    <w:p>
      <w:pPr>
        <w:pStyle w:val="Heading3"/>
      </w:pPr>
      <w:r>
        <w:rPr>
          <w:rFonts w:ascii="Calibri" w:hAnsi="Calibri" w:cs="Calibri"/>
          <w:b/>
          <w:color w:val="2E5596"/>
          <w:sz w:val="24"/>
        </w:rPr>
        <w:t>Fase 5 — Constancias + export STPS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[x] </w:t>
      </w:r>
      <w:r>
        <w:rPr>
          <w:rFonts w:ascii="Consolas" w:hAnsi="Consolas" w:cs="Consolas"/>
          <w:color w:val="C0392B"/>
          <w:sz w:val="19"/>
        </w:rPr>
        <w:t>GET /reports/constancia</w:t>
      </w:r>
      <w:r>
        <w:rPr>
          <w:rFonts w:ascii="Calibri" w:hAnsi="Calibri" w:cs="Calibri"/>
          <w:color w:val="333333"/>
          <w:sz w:val="22"/>
        </w:rPr>
        <w:t xml:space="preserve"> (días trabajados, total de horas, salario diario,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jornada) — Art. 132 fr. VI-VIII. Usa </w:t>
      </w:r>
      <w:r>
        <w:rPr>
          <w:rFonts w:ascii="Consolas" w:hAnsi="Consolas" w:cs="Consolas"/>
          <w:color w:val="C0392B"/>
          <w:sz w:val="19"/>
        </w:rPr>
        <w:t>users.daily_wage</w:t>
      </w:r>
      <w:r>
        <w:rPr>
          <w:rFonts w:ascii="Calibri" w:hAnsi="Calibri" w:cs="Calibri"/>
          <w:color w:val="333333"/>
          <w:sz w:val="22"/>
        </w:rPr>
        <w:t xml:space="preserve"> (+ </w:t>
      </w:r>
      <w:r>
        <w:rPr>
          <w:rFonts w:ascii="Consolas" w:hAnsi="Consolas" w:cs="Consolas"/>
          <w:color w:val="C0392B"/>
          <w:sz w:val="19"/>
        </w:rPr>
        <w:t>db/006_constancia.sql</w:t>
      </w:r>
      <w:r>
        <w:rPr>
          <w:rFonts w:ascii="Calibri" w:hAnsi="Calibri" w:cs="Calibri"/>
          <w:color w:val="333333"/>
          <w:sz w:val="22"/>
        </w:rPr>
        <w:t>).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[x] </w:t>
      </w:r>
      <w:r>
        <w:rPr>
          <w:rFonts w:ascii="Consolas" w:hAnsi="Consolas" w:cs="Consolas"/>
          <w:color w:val="C0392B"/>
          <w:sz w:val="19"/>
        </w:rPr>
        <w:t>GET /exports/jornada?from=&amp;to=&amp;format=csv|json</w:t>
      </w:r>
      <w:r>
        <w:rPr>
          <w:rFonts w:ascii="Calibri" w:hAnsi="Calibri" w:cs="Calibri"/>
          <w:color w:val="333333"/>
          <w:sz w:val="22"/>
        </w:rPr>
        <w:t xml:space="preserve"> para fiscalización STPS,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con cadena de hash (tamper-evidence, Art. 784) verificable.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[x] Reporte de evidencia verificable: export incluye </w:t>
      </w:r>
      <w:r>
        <w:rPr>
          <w:rFonts w:ascii="Consolas" w:hAnsi="Consolas" w:cs="Consolas"/>
          <w:color w:val="C0392B"/>
          <w:sz w:val="19"/>
        </w:rPr>
        <w:t>chain_seq</w:t>
      </w:r>
      <w:r>
        <w:rPr>
          <w:rFonts w:ascii="Calibri" w:hAnsi="Calibri" w:cs="Calibri"/>
          <w:color w:val="333333"/>
          <w:sz w:val="22"/>
        </w:rPr>
        <w:t xml:space="preserve"> + </w:t>
      </w:r>
      <w:r>
        <w:rPr>
          <w:rFonts w:ascii="Consolas" w:hAnsi="Consolas" w:cs="Consolas"/>
          <w:color w:val="C0392B"/>
          <w:sz w:val="19"/>
        </w:rPr>
        <w:t>hash</w:t>
      </w:r>
      <w:r>
        <w:rPr>
          <w:rFonts w:ascii="Calibri" w:hAnsi="Calibri" w:cs="Calibri"/>
          <w:color w:val="333333"/>
          <w:sz w:val="22"/>
        </w:rPr>
        <w:t xml:space="preserve"> por evento.</w:t>
      </w:r>
    </w:p>
    <w:p>
      <w:pPr>
        <w:pStyle w:val="Heading3"/>
      </w:pPr>
      <w:r>
        <w:rPr>
          <w:rFonts w:ascii="Calibri" w:hAnsi="Calibri" w:cs="Calibri"/>
          <w:b/>
          <w:color w:val="2E5596"/>
          <w:sz w:val="24"/>
        </w:rPr>
        <w:t>Fase 6 — Retención ≥5 años + auditoría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[x] Política de no-purga: sin </w:t>
      </w:r>
      <w:r>
        <w:rPr>
          <w:rFonts w:ascii="Consolas" w:hAnsi="Consolas" w:cs="Consolas"/>
          <w:color w:val="C0392B"/>
          <w:sz w:val="19"/>
        </w:rPr>
        <w:t>DELETE</w:t>
      </w:r>
      <w:r>
        <w:rPr>
          <w:rFonts w:ascii="Calibri" w:hAnsi="Calibri" w:cs="Calibri"/>
          <w:color w:val="333333"/>
          <w:sz w:val="22"/>
        </w:rPr>
        <w:t xml:space="preserve"> sobre eventos de jornada (append-only + hash).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[x] Respaldo diario automatizado: </w:t>
      </w:r>
      <w:r>
        <w:rPr>
          <w:rFonts w:ascii="Consolas" w:hAnsi="Consolas" w:cs="Consolas"/>
          <w:color w:val="C0392B"/>
          <w:sz w:val="19"/>
        </w:rPr>
        <w:t>backup_db.sh</w:t>
      </w:r>
      <w:r>
        <w:rPr>
          <w:rFonts w:ascii="Calibri" w:hAnsi="Calibri" w:cs="Calibri"/>
          <w:color w:val="333333"/>
          <w:sz w:val="22"/>
        </w:rPr>
        <w:t xml:space="preserve"> + </w:t>
      </w:r>
      <w:r>
        <w:rPr>
          <w:rFonts w:ascii="Consolas" w:hAnsi="Consolas" w:cs="Consolas"/>
          <w:color w:val="C0392B"/>
          <w:sz w:val="19"/>
        </w:rPr>
        <w:t>/etc/cron.d/asistencia-backup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(producción), retención 5 años.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[x] Documentación de auditoría y Ley Silla: </w:t>
      </w:r>
      <w:r>
        <w:rPr>
          <w:rFonts w:ascii="Consolas" w:hAnsi="Consolas" w:cs="Consolas"/>
          <w:color w:val="C0392B"/>
          <w:sz w:val="19"/>
        </w:rPr>
        <w:t>docs/13-retencion-y-auditoria.md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Heading3"/>
      </w:pPr>
      <w:r>
        <w:rPr>
          <w:rFonts w:ascii="Calibri" w:hAnsi="Calibri" w:cs="Calibri"/>
          <w:b/>
          <w:color w:val="2E5596"/>
          <w:sz w:val="24"/>
        </w:rPr>
        <w:t>Fase 7 — App móvil (consentimiento + marcaje alternativo)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[x] Pantalla de consentimiento escrito (checkbox + texto) antes del primer uso.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[x] Toggle PIN vs biométrico en el check-in.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[x] APK v0.4.0 compilado y publicado (arm64 + universal) en</w:t>
      </w:r>
    </w:p>
    <w:p>
      <w:pPr>
        <w:spacing w:after="120"/>
        <w:jc w:val="both"/>
      </w:pPr>
      <w:r>
        <w:rPr>
          <w:rFonts w:ascii="Consolas" w:hAnsi="Consolas" w:cs="Consolas"/>
          <w:color w:val="C0392B"/>
          <w:sz w:val="19"/>
        </w:rPr>
        <w:t>/ia/downloads/asistencia/20260923_lft_consentimiento_v040/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[ ] Mostrar jornada semanal y horas extra al empleado (transparencia).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3. Orden recomendado de ejecución</w:t>
      </w:r>
    </w:p>
    <w:p>
      <w:pPr>
        <w:pStyle w:val="ListNumber"/>
      </w:pPr>
      <w:r>
        <w:rPr>
          <w:rFonts w:ascii="Calibri" w:hAnsi="Calibri" w:cs="Calibri"/>
          <w:b/>
          <w:color w:val="333333"/>
          <w:sz w:val="22"/>
        </w:rPr>
        <w:t>F1 + F2</w:t>
      </w:r>
      <w:r>
        <w:rPr>
          <w:rFonts w:ascii="Calibri" w:hAnsi="Calibri" w:cs="Calibri"/>
          <w:color w:val="333333"/>
          <w:sz w:val="22"/>
        </w:rPr>
        <w:t xml:space="preserve"> (hoy): reglas de horas extra y jornada — impacto legal directo, sin riesgo.</w:t>
      </w:r>
    </w:p>
    <w:p>
      <w:pPr>
        <w:pStyle w:val="ListNumber"/>
      </w:pPr>
      <w:r>
        <w:rPr>
          <w:rFonts w:ascii="Calibri" w:hAnsi="Calibri" w:cs="Calibri"/>
          <w:b/>
          <w:color w:val="333333"/>
          <w:sz w:val="22"/>
        </w:rPr>
        <w:t>F3 + F4</w:t>
      </w:r>
      <w:r>
        <w:rPr>
          <w:rFonts w:ascii="Calibri" w:hAnsi="Calibri" w:cs="Calibri"/>
          <w:color w:val="333333"/>
          <w:sz w:val="22"/>
        </w:rPr>
        <w:t>: consentimiento y alternativa no biométrica — privacidad (sanciones dobles).</w:t>
      </w:r>
    </w:p>
    <w:p>
      <w:pPr>
        <w:pStyle w:val="ListNumber"/>
      </w:pPr>
      <w:r>
        <w:rPr>
          <w:rFonts w:ascii="Calibri" w:hAnsi="Calibri" w:cs="Calibri"/>
          <w:b/>
          <w:color w:val="333333"/>
          <w:sz w:val="22"/>
        </w:rPr>
        <w:t>F5</w:t>
      </w:r>
      <w:r>
        <w:rPr>
          <w:rFonts w:ascii="Calibri" w:hAnsi="Calibri" w:cs="Calibri"/>
          <w:color w:val="333333"/>
          <w:sz w:val="22"/>
        </w:rPr>
        <w:t>: constancias + export — habilitan la fiscalización/auditoría.</w:t>
      </w:r>
    </w:p>
    <w:p>
      <w:pPr>
        <w:pStyle w:val="ListNumber"/>
      </w:pPr>
      <w:r>
        <w:rPr>
          <w:rFonts w:ascii="Calibri" w:hAnsi="Calibri" w:cs="Calibri"/>
          <w:b/>
          <w:color w:val="333333"/>
          <w:sz w:val="22"/>
        </w:rPr>
        <w:t>F6 + F7</w:t>
      </w:r>
      <w:r>
        <w:rPr>
          <w:rFonts w:ascii="Calibri" w:hAnsi="Calibri" w:cs="Calibri"/>
          <w:color w:val="333333"/>
          <w:sz w:val="22"/>
        </w:rPr>
        <w:t>: retención y UI — cierre de cumplimiento total.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4. Fuentes verificadas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Reforma constitucional (jornada 40 h): DOF 3 de marzo de 2026.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Registro electrónico de jornada: Art. 132 fr. XXXIV LFT (decreto DOF 1 de mayo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de 2026); disposiciones STPS → 1 de enero de 2027; multa 250–5,000 UMA.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Horas extra: Art. 66-68 LFT (reforma 2026): 12 h/sem, 4 h/día, 4 días/sem,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doble (100 %) / triple (200 %).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Conservación: Art. 804 LFT (año + 1), LSS (5 años), CFF (5–10 años).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Carga de la prueba: Art. 784 LFT.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Privacidad: LFPDPPP (reforma 2025, autoridad SABG) — biométricos/GPS = datos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sensibles; consentimiento expreso y por escrito; alternativa no biométrica.</w:t>
      </w:r>
    </w:p>
    <w:p>
      <w:pPr>
        <w:spacing w:before="80" w:after="80"/>
        <w:ind w:left="432"/>
        <w:shd w:val="clear" w:color="auto" w:fill="FDF3E7"/>
        <w:pBdr>
          <w:top w:val="single" w:sz="4" w:space="8" w:color="F79646"/>
          <w:left w:val="single" w:sz="4" w:space="8" w:color="F79646"/>
          <w:bottom w:val="single" w:sz="4" w:space="8" w:color="F79646"/>
          <w:right w:val="single" w:sz="4" w:space="8" w:color="F79646"/>
        </w:pBdr>
      </w:pPr>
      <w:r>
        <w:rPr>
          <w:rFonts w:ascii="Calibri" w:hAnsi="Calibri" w:cs="Calibri"/>
          <w:color w:val="333333"/>
          <w:sz w:val="21"/>
        </w:rPr>
        <w:t xml:space="preserve">Documento base de requisitos: </w:t>
      </w:r>
      <w:r>
        <w:rPr>
          <w:rFonts w:ascii="Consolas" w:hAnsi="Consolas" w:cs="Consolas"/>
          <w:color w:val="C0392B"/>
          <w:sz w:val="18"/>
        </w:rPr>
        <w:t>docs/11-cumplimiento-lft-2026-2027.md</w:t>
      </w:r>
      <w:r>
        <w:rPr>
          <w:rFonts w:ascii="Calibri" w:hAnsi="Calibri" w:cs="Calibri"/>
          <w:color w:val="333333"/>
          <w:sz w:val="21"/>
        </w:rPr>
        <w:t>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5. Despliegue a producción (Linode)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2026-09-23/24 — Migraciones aplicadas</w:t>
      </w:r>
      <w:r>
        <w:rPr>
          <w:rFonts w:ascii="Calibri" w:hAnsi="Calibri" w:cs="Calibri"/>
          <w:color w:val="333333"/>
          <w:sz w:val="22"/>
        </w:rPr>
        <w:t xml:space="preserve"> (</w:t>
      </w:r>
      <w:r>
        <w:rPr>
          <w:rFonts w:ascii="Consolas" w:hAnsi="Consolas" w:cs="Consolas"/>
          <w:color w:val="C0392B"/>
          <w:sz w:val="19"/>
        </w:rPr>
        <w:t>asistencia-postgis</w:t>
      </w:r>
      <w:r>
        <w:rPr>
          <w:rFonts w:ascii="Calibri" w:hAnsi="Calibri" w:cs="Calibri"/>
          <w:color w:val="333333"/>
          <w:sz w:val="22"/>
        </w:rPr>
        <w:t xml:space="preserve">, </w:t>
      </w:r>
      <w:r>
        <w:rPr>
          <w:rFonts w:ascii="Consolas" w:hAnsi="Consolas" w:cs="Consolas"/>
          <w:color w:val="C0392B"/>
          <w:sz w:val="19"/>
        </w:rPr>
        <w:t>127.0.0.1:5433</w:t>
      </w:r>
      <w:r>
        <w:rPr>
          <w:rFonts w:ascii="Calibri" w:hAnsi="Calibri" w:cs="Calibri"/>
          <w:color w:val="333333"/>
          <w:sz w:val="22"/>
        </w:rPr>
        <w:t>,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db </w:t>
      </w:r>
      <w:r>
        <w:rPr>
          <w:rFonts w:ascii="Consolas" w:hAnsi="Consolas" w:cs="Consolas"/>
          <w:color w:val="C0392B"/>
          <w:sz w:val="19"/>
        </w:rPr>
        <w:t>asistencia</w:t>
      </w:r>
      <w:r>
        <w:rPr>
          <w:rFonts w:ascii="Calibri" w:hAnsi="Calibri" w:cs="Calibri"/>
          <w:color w:val="333333"/>
          <w:sz w:val="22"/>
        </w:rPr>
        <w:t xml:space="preserve">): </w:t>
      </w:r>
      <w:r>
        <w:rPr>
          <w:rFonts w:ascii="Consolas" w:hAnsi="Consolas" w:cs="Consolas"/>
          <w:color w:val="C0392B"/>
          <w:sz w:val="19"/>
        </w:rPr>
        <w:t>db/004</w:t>
      </w:r>
      <w:r>
        <w:rPr>
          <w:rFonts w:ascii="Calibri" w:hAnsi="Calibri" w:cs="Calibri"/>
          <w:color w:val="333333"/>
          <w:sz w:val="22"/>
        </w:rPr>
        <w:t xml:space="preserve"> (</w:t>
      </w:r>
      <w:r>
        <w:rPr>
          <w:rFonts w:ascii="Consolas" w:hAnsi="Consolas" w:cs="Consolas"/>
          <w:color w:val="C0392B"/>
          <w:sz w:val="19"/>
        </w:rPr>
        <w:t>users.birth_date</w:t>
      </w:r>
      <w:r>
        <w:rPr>
          <w:rFonts w:ascii="Calibri" w:hAnsi="Calibri" w:cs="Calibri"/>
          <w:color w:val="333333"/>
          <w:sz w:val="22"/>
        </w:rPr>
        <w:t xml:space="preserve"> + índice), </w:t>
      </w:r>
      <w:r>
        <w:rPr>
          <w:rFonts w:ascii="Consolas" w:hAnsi="Consolas" w:cs="Consolas"/>
          <w:color w:val="C0392B"/>
          <w:sz w:val="19"/>
        </w:rPr>
        <w:t>db/005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(</w:t>
      </w:r>
      <w:r>
        <w:rPr>
          <w:rFonts w:ascii="Consolas" w:hAnsi="Consolas" w:cs="Consolas"/>
          <w:color w:val="C0392B"/>
          <w:sz w:val="19"/>
        </w:rPr>
        <w:t>consents.document_version</w:t>
      </w:r>
      <w:r>
        <w:rPr>
          <w:rFonts w:ascii="Calibri" w:hAnsi="Calibri" w:cs="Calibri"/>
          <w:color w:val="333333"/>
          <w:sz w:val="22"/>
        </w:rPr>
        <w:t>/</w:t>
      </w:r>
      <w:r>
        <w:rPr>
          <w:rFonts w:ascii="Consolas" w:hAnsi="Consolas" w:cs="Consolas"/>
          <w:color w:val="C0392B"/>
          <w:sz w:val="19"/>
        </w:rPr>
        <w:t>written_ack</w:t>
      </w:r>
      <w:r>
        <w:rPr>
          <w:rFonts w:ascii="Calibri" w:hAnsi="Calibri" w:cs="Calibri"/>
          <w:color w:val="333333"/>
          <w:sz w:val="22"/>
        </w:rPr>
        <w:t>/</w:t>
      </w:r>
      <w:r>
        <w:rPr>
          <w:rFonts w:ascii="Consolas" w:hAnsi="Consolas" w:cs="Consolas"/>
          <w:color w:val="C0392B"/>
          <w:sz w:val="19"/>
        </w:rPr>
        <w:t>revoked_at</w:t>
      </w:r>
      <w:r>
        <w:rPr>
          <w:rFonts w:ascii="Calibri" w:hAnsi="Calibri" w:cs="Calibri"/>
          <w:color w:val="333333"/>
          <w:sz w:val="22"/>
        </w:rPr>
        <w:t xml:space="preserve">), </w:t>
      </w:r>
      <w:r>
        <w:rPr>
          <w:rFonts w:ascii="Consolas" w:hAnsi="Consolas" w:cs="Consolas"/>
          <w:color w:val="C0392B"/>
          <w:sz w:val="19"/>
        </w:rPr>
        <w:t>db/006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(</w:t>
      </w:r>
      <w:r>
        <w:rPr>
          <w:rFonts w:ascii="Consolas" w:hAnsi="Consolas" w:cs="Consolas"/>
          <w:color w:val="C0392B"/>
          <w:sz w:val="19"/>
        </w:rPr>
        <w:t>users.daily_wage</w:t>
      </w:r>
      <w:r>
        <w:rPr>
          <w:rFonts w:ascii="Calibri" w:hAnsi="Calibri" w:cs="Calibri"/>
          <w:color w:val="333333"/>
          <w:sz w:val="22"/>
        </w:rPr>
        <w:t>). Respaldo previo:</w:t>
      </w:r>
    </w:p>
    <w:p>
      <w:pPr>
        <w:spacing w:after="120"/>
        <w:jc w:val="both"/>
      </w:pPr>
      <w:r>
        <w:rPr>
          <w:rFonts w:ascii="Consolas" w:hAnsi="Consolas" w:cs="Consolas"/>
          <w:color w:val="C0392B"/>
          <w:sz w:val="19"/>
        </w:rPr>
        <w:t>/opt/asistencia/backup_db_20260924_024918_pre_lft_004_006.sql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2026-09-23/24 — Código desplegado</w:t>
      </w:r>
      <w:r>
        <w:rPr>
          <w:rFonts w:ascii="Calibri" w:hAnsi="Calibri" w:cs="Calibri"/>
          <w:color w:val="333333"/>
          <w:sz w:val="22"/>
        </w:rPr>
        <w:t xml:space="preserve"> (10 archivos runtime) y servicio</w:t>
      </w:r>
    </w:p>
    <w:p>
      <w:pPr>
        <w:spacing w:after="120"/>
        <w:jc w:val="both"/>
      </w:pPr>
      <w:r>
        <w:rPr>
          <w:rFonts w:ascii="Consolas" w:hAnsi="Consolas" w:cs="Consolas"/>
          <w:color w:val="C0392B"/>
          <w:sz w:val="19"/>
        </w:rPr>
        <w:t>ia-asistencia.service</w:t>
      </w:r>
      <w:r>
        <w:rPr>
          <w:rFonts w:ascii="Calibri" w:hAnsi="Calibri" w:cs="Calibri"/>
          <w:color w:val="333333"/>
          <w:sz w:val="22"/>
        </w:rPr>
        <w:t xml:space="preserve"> reiniciado (verificado: </w:t>
      </w:r>
      <w:r>
        <w:rPr>
          <w:rFonts w:ascii="Consolas" w:hAnsi="Consolas" w:cs="Consolas"/>
          <w:color w:val="C0392B"/>
          <w:sz w:val="19"/>
        </w:rPr>
        <w:t>/health</w:t>
      </w:r>
      <w:r>
        <w:rPr>
          <w:rFonts w:ascii="Calibri" w:hAnsi="Calibri" w:cs="Calibri"/>
          <w:color w:val="333333"/>
          <w:sz w:val="22"/>
        </w:rPr>
        <w:t xml:space="preserve"> 200, endpoints nuevos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responden). Respaldo previo de </w:t>
      </w:r>
      <w:r>
        <w:rPr>
          <w:rFonts w:ascii="Consolas" w:hAnsi="Consolas" w:cs="Consolas"/>
          <w:color w:val="C0392B"/>
          <w:sz w:val="19"/>
        </w:rPr>
        <w:t>app/</w:t>
      </w:r>
      <w:r>
        <w:rPr>
          <w:rFonts w:ascii="Calibri" w:hAnsi="Calibri" w:cs="Calibri"/>
          <w:color w:val="333333"/>
          <w:sz w:val="22"/>
        </w:rPr>
        <w:t>:</w:t>
      </w:r>
    </w:p>
    <w:p>
      <w:pPr>
        <w:spacing w:after="120"/>
        <w:jc w:val="both"/>
      </w:pPr>
      <w:r>
        <w:rPr>
          <w:rFonts w:ascii="Consolas" w:hAnsi="Consolas" w:cs="Consolas"/>
          <w:color w:val="C0392B"/>
          <w:sz w:val="19"/>
        </w:rPr>
        <w:t>/opt/asistencia/backend/backup_app_20260924_025847_pre_lft_deploy.tar.gz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2026-09-23/24 — `companies.legal_config` normalizado</w:t>
      </w:r>
      <w:r>
        <w:rPr>
          <w:rFonts w:ascii="Calibri" w:hAnsi="Calibri" w:cs="Calibri"/>
          <w:color w:val="333333"/>
          <w:sz w:val="22"/>
        </w:rPr>
        <w:t xml:space="preserve"> a LFT 2026 + LFPDPPP: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`{horas_extra_semana_max: 12, horas_extra_dia_max: 4, dias_extra_max_semana: 4,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auth_biometrica_obligatoria: false, permitir_alternativa_no_biometrica: true,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radio_geocerca_default_m: 100}</w:t>
      </w:r>
      <w:r>
        <w:rPr>
          <w:rFonts w:ascii="Consolas" w:hAnsi="Consolas" w:cs="Consolas"/>
          <w:color w:val="C0392B"/>
          <w:sz w:val="19"/>
        </w:rPr>
        <w:t xml:space="preserve">. Backfill </w:t>
      </w:r>
      <w:r>
        <w:rPr>
          <w:rFonts w:ascii="Calibri" w:hAnsi="Calibri" w:cs="Calibri"/>
          <w:color w:val="333333"/>
          <w:sz w:val="22"/>
        </w:rPr>
        <w:t>consents.written_ack = true` (30 filas).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2026-09-24 — F6 retención:</w:t>
      </w:r>
      <w:r>
        <w:rPr>
          <w:rFonts w:ascii="Calibri" w:hAnsi="Calibri" w:cs="Calibri"/>
          <w:color w:val="333333"/>
          <w:sz w:val="22"/>
        </w:rPr>
        <w:t xml:space="preserve"> script </w:t>
      </w:r>
      <w:r>
        <w:rPr>
          <w:rFonts w:ascii="Consolas" w:hAnsi="Consolas" w:cs="Consolas"/>
          <w:color w:val="C0392B"/>
          <w:sz w:val="19"/>
        </w:rPr>
        <w:t>backup_db.sh</w:t>
      </w:r>
      <w:r>
        <w:rPr>
          <w:rFonts w:ascii="Calibri" w:hAnsi="Calibri" w:cs="Calibri"/>
          <w:color w:val="333333"/>
          <w:sz w:val="22"/>
        </w:rPr>
        <w:t xml:space="preserve"> + cron</w:t>
      </w:r>
    </w:p>
    <w:p>
      <w:pPr>
        <w:spacing w:after="120"/>
        <w:jc w:val="both"/>
      </w:pPr>
      <w:r>
        <w:rPr>
          <w:rFonts w:ascii="Consolas" w:hAnsi="Consolas" w:cs="Consolas"/>
          <w:color w:val="C0392B"/>
          <w:sz w:val="19"/>
        </w:rPr>
        <w:t>/etc/cron.d/asistencia-backup</w:t>
      </w:r>
      <w:r>
        <w:rPr>
          <w:rFonts w:ascii="Calibri" w:hAnsi="Calibri" w:cs="Calibri"/>
          <w:color w:val="333333"/>
          <w:sz w:val="22"/>
        </w:rPr>
        <w:t xml:space="preserve"> (diario 02:30 UTC, retención 5 años).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Pendiente:</w:t>
      </w:r>
      <w:r>
        <w:rPr>
          <w:rFonts w:ascii="Calibri" w:hAnsi="Calibri" w:cs="Calibri"/>
          <w:color w:val="333333"/>
          <w:sz w:val="22"/>
        </w:rPr>
        <w:t xml:space="preserve"> ninguno (F7 completado).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16" w:space="4" w:color="F79646"/>
      </w:pBdr>
      <w:tabs>
        <w:tab w:pos="9360" w:val="right"/>
      </w:tabs>
    </w:pPr>
    <w:r/>
    <w:r>
      <w:drawing>
        <wp:inline xmlns:a="http://schemas.openxmlformats.org/drawingml/2006/main" xmlns:pic="http://schemas.openxmlformats.org/drawingml/2006/picture">
          <wp:extent cx="491561" cy="34747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int_a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1561" cy="347472"/>
                  </a:xfrm>
                  <a:prstGeom prst="rect"/>
                </pic:spPr>
              </pic:pic>
            </a:graphicData>
          </a:graphic>
        </wp:inline>
      </w:drawing>
    </w:r>
    <w:r>
      <w:tab/>
    </w:r>
    <w:r>
      <w:rPr>
        <w:rFonts w:ascii="Calibri" w:hAnsi="Calibri" w:cs="Calibri"/>
        <w:color w:val="595959"/>
        <w:sz w:val="18"/>
      </w:rPr>
      <w:t xml:space="preserve">Página </w:t>
    </w:r>
    <w:r>
      <w:rPr>
        <w:rFonts w:ascii="Calibri" w:hAnsi="Calibri" w:cs="Calibri"/>
        <w:color w:val="595959"/>
        <w:sz w:val="18"/>
      </w:rPr>
      <w:fldChar w:fldCharType="begin"/>
    </w:r>
    <w:r>
      <w:rPr>
        <w:rFonts w:ascii="Calibri" w:hAnsi="Calibri" w:cs="Calibri"/>
        <w:color w:val="595959"/>
        <w:sz w:val="18"/>
      </w:rPr>
      <w:instrText xml:space="preserve"> PAGE </w:instrText>
    </w:r>
    <w:r>
      <w:rPr>
        <w:rFonts w:ascii="Calibri" w:hAnsi="Calibri" w:cs="Calibri"/>
        <w:color w:val="595959"/>
        <w:sz w:val="18"/>
      </w:rPr>
      <w:fldChar w:fldCharType="end"/>
    </w:r>
    <w:r>
      <w:rPr>
        <w:rFonts w:ascii="Calibri" w:hAnsi="Calibri" w:cs="Calibri"/>
        <w:color w:val="595959"/>
        <w:sz w:val="18"/>
      </w:rPr>
      <w:t xml:space="preserve"> de </w:t>
    </w:r>
    <w:r>
      <w:rPr>
        <w:rFonts w:ascii="Calibri" w:hAnsi="Calibri" w:cs="Calibri"/>
        <w:color w:val="595959"/>
        <w:sz w:val="18"/>
      </w:rPr>
      <w:fldChar w:fldCharType="begin"/>
    </w:r>
    <w:r>
      <w:rPr>
        <w:rFonts w:ascii="Calibri" w:hAnsi="Calibri" w:cs="Calibri"/>
        <w:color w:val="595959"/>
        <w:sz w:val="18"/>
      </w:rPr>
      <w:instrText xml:space="preserve"> NUMPAGES </w:instrText>
    </w:r>
    <w:r>
      <w:rPr>
        <w:rFonts w:ascii="Calibri" w:hAnsi="Calibri" w:cs="Calibri"/>
        <w:color w:val="59595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80"/>
      <w:jc w:val="left"/>
      <w:pBdr>
        <w:bottom w:val="single" w:sz="16" w:space="4" w:color="F79646"/>
      </w:pBdr>
    </w:pPr>
    <w:r/>
    <w:r>
      <w:drawing>
        <wp:inline xmlns:a="http://schemas.openxmlformats.org/drawingml/2006/main" xmlns:pic="http://schemas.openxmlformats.org/drawingml/2006/picture">
          <wp:extent cx="543184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i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3184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F79646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1F3864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2E559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160" w:after="6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2E5596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333333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/>
      <w:color w:val="333333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