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Ventas 2025 por Vendedor</w:t>
      </w:r>
    </w:p>
    <w:p>
      <w:r>
        <w:rPr>
          <w:color w:val="6B7280"/>
          <w:sz w:val="24"/>
        </w:rPr>
        <w:t>Modelo: deepseek-v4-pro (comercial) · INT_PROD_LAB ·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$1.00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Este reporte consolida las ventas facturadas del año 2025 desde OINV, sumando el total de documento (DocTotal) por cada vendedor. Se excluyen los documentos cancelados y se unen con OSLP para mostrar el nombre del vendedor, ordenando los resultados de mayor a menor total.</w:t>
      </w:r>
    </w:p>
    <w:p>
      <w:r>
        <w:t>El resultado permite identificar rápidamente a los vendedores con mejor desempeño facturado en 2025 y facilita el seguimiento comercial de la fuerza de ventas.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1_ventas_vendedo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SlpCode</w:t>
            </w:r>
          </w:p>
        </w:tc>
        <w:tc>
          <w:tcPr>
            <w:tcW w:type="dxa" w:w="2880"/>
          </w:tcPr>
          <w:p>
            <w:r>
              <w:t>SlpName</w:t>
            </w:r>
          </w:p>
        </w:tc>
        <w:tc>
          <w:tcPr>
            <w:tcW w:type="dxa" w:w="2880"/>
          </w:tcPr>
          <w:p>
            <w:r>
              <w:t>TotalVentas</w:t>
            </w:r>
          </w:p>
        </w:tc>
      </w:tr>
      <w:tr>
        <w:tc>
          <w:tcPr>
            <w:tcW w:type="dxa" w:w="2880"/>
          </w:tcPr>
          <w:p>
            <w:r>
              <w:t>-1</w:t>
            </w:r>
          </w:p>
        </w:tc>
        <w:tc>
          <w:tcPr>
            <w:tcW w:type="dxa" w:w="2880"/>
          </w:tcPr>
          <w:p>
            <w:r>
              <w:t>-Ningún empleado del departamento de ventas-</w:t>
            </w:r>
          </w:p>
        </w:tc>
        <w:tc>
          <w:tcPr>
            <w:tcW w:type="dxa" w:w="2880"/>
          </w:tcPr>
          <w:p>
            <w:r>
              <w:t>1008381228.770000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Ventas 2025 por Vendedor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