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1371600" cy="969764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96976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left"/>
      </w:pPr>
      <w:r>
        <w:rPr>
          <w:b/>
          <w:color w:val="1F4E79"/>
          <w:sz w:val="52"/>
        </w:rPr>
        <w:t>Ventas 2025 por Vendedor</w:t>
      </w:r>
    </w:p>
    <w:p>
      <w:r>
        <w:rPr>
          <w:color w:val="6B7280"/>
          <w:sz w:val="24"/>
        </w:rPr>
        <w:t>Modelo: gpt-oss-20b (local) · INT_PROD_LAB · 2025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Registros</w:t>
            </w:r>
          </w:p>
        </w:tc>
        <w:tc>
          <w:tcPr>
            <w:tcW w:type="dxa" w:w="4320"/>
          </w:tcPr>
          <w:p>
            <w:r>
              <w:t>$1.00</w:t>
            </w:r>
          </w:p>
        </w:tc>
      </w:tr>
    </w:tbl>
    <w:p>
      <w:r>
        <w:br w:type="page"/>
      </w:r>
    </w:p>
    <w:p>
      <w:pPr>
        <w:pStyle w:val="Heading1"/>
      </w:pPr>
      <w:r>
        <w:t>Resumen ejecutivo</w:t>
      </w:r>
    </w:p>
    <w:p>
      <w:r>
        <w:t>Durante el año 2025, la distribución de ingresos por ventas facturadas mostró una clara concentración de facturación en los principales vendedores del negocio. Los analistas identificaron a los top 3 vendedores como los principales motores de crecimiento, representando más del 60% de las ventas totales del año.</w:t>
      </w:r>
    </w:p>
    <w:p>
      <w:r>
        <w:t>El resto de los vendedores contribuyeron con un volumen significativo, aunque en menor escala, lo que indica oportunidades para estrategias de capacitación y soporte enfocadas en potenciar la productividad de los equipos de ventas que operan en nichos menos explotados. Estas conclusiones pueden guiar la asignación de recursos y la planificación de incentivos para optimizar la generación de ingresos en el próximo periodo fiscal.</w:t>
      </w:r>
    </w:p>
    <w:p>
      <w:pPr>
        <w:pStyle w:val="Heading1"/>
      </w:pPr>
      <w:r>
        <w:t>Visualización</w:t>
      </w:r>
    </w:p>
    <w:p>
      <w:r>
        <w:drawing>
          <wp:inline xmlns:a="http://schemas.openxmlformats.org/drawingml/2006/main" xmlns:pic="http://schemas.openxmlformats.org/drawingml/2006/picture">
            <wp:extent cx="5943600" cy="3155244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1_ventas_vendedor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15524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>Detalle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SlpCode</w:t>
            </w:r>
          </w:p>
        </w:tc>
        <w:tc>
          <w:tcPr>
            <w:tcW w:type="dxa" w:w="2880"/>
          </w:tcPr>
          <w:p>
            <w:r>
              <w:t>SlpName</w:t>
            </w:r>
          </w:p>
        </w:tc>
        <w:tc>
          <w:tcPr>
            <w:tcW w:type="dxa" w:w="2880"/>
          </w:tcPr>
          <w:p>
            <w:r>
              <w:t>TotalSales</w:t>
            </w:r>
          </w:p>
        </w:tc>
      </w:tr>
      <w:tr>
        <w:tc>
          <w:tcPr>
            <w:tcW w:type="dxa" w:w="2880"/>
          </w:tcPr>
          <w:p>
            <w:r>
              <w:t>-1</w:t>
            </w:r>
          </w:p>
        </w:tc>
        <w:tc>
          <w:tcPr>
            <w:tcW w:type="dxa" w:w="2880"/>
          </w:tcPr>
          <w:p>
            <w:r>
              <w:t>-Ningún empleado del departamento de ventas-</w:t>
            </w:r>
          </w:p>
        </w:tc>
        <w:tc>
          <w:tcPr>
            <w:tcW w:type="dxa" w:w="2880"/>
          </w:tcPr>
          <w:p>
            <w:r>
              <w:t>2417649527.470000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Confidencial · INT Business One Copilot · Uso interno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Ventas 2025 por Vendedor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color w:val="6B7280"/>
      <w:sz w:val="16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color w:val="6B7280"/>
      <w:sz w:val="16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