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Top 10 Clientes 2025</w:t>
      </w:r>
    </w:p>
    <w:p>
      <w:r>
        <w:rPr>
          <w:color w:val="6B7280"/>
          <w:sz w:val="24"/>
        </w:rPr>
        <w:t>Modelo: gpt-oss-20b (local) · INT_PROD_LAB · 2025</w:t>
      </w:r>
    </w:p>
    <w:tbl>
      <w:tblPr>
        <w:tblStyle w:val="TableGrid"/>
        <w:tblW w:type="auto" w:w="0"/>
        <w:tblLook w:firstColumn="1" w:firstRow="1" w:lastColumn="0" w:lastRow="0" w:noHBand="0" w:noVBand="1" w:val="04A0"/>
      </w:tblPr>
      <w:tblGrid>
        <w:gridCol w:w="4320"/>
        <w:gridCol w:w="4320"/>
      </w:tblGrid>
      <w:tr>
        <w:tc>
          <w:tcPr>
            <w:tcW w:type="dxa" w:w="4320"/>
          </w:tcPr>
          <w:p>
            <w:r>
              <w:t>Registros</w:t>
            </w:r>
          </w:p>
        </w:tc>
        <w:tc>
          <w:tcPr>
            <w:tcW w:type="dxa" w:w="4320"/>
          </w:tcPr>
          <w:p>
            <w:r>
              <w:t>$10.00</w:t>
            </w:r>
          </w:p>
        </w:tc>
      </w:tr>
    </w:tbl>
    <w:p>
      <w:r>
        <w:br w:type="page"/>
      </w:r>
    </w:p>
    <w:p>
      <w:pPr>
        <w:pStyle w:val="Heading1"/>
      </w:pPr>
      <w:r>
        <w:t>Resumen ejecutivo</w:t>
      </w:r>
    </w:p>
    <w:p>
      <w:r>
        <w:t>En el año 2025, los clientes que generaron mayor volumen de facturación para la compañía se consolidaron en la lista de los diez principales. Esta clasificación, basada únicamente en el monto bruto de las facturas emitidas y excluyendo aquellas marcadas como canceladas, revela las relaciones comerciales más lucrativas y puede servir como punto de partida para analizar tendencias de consumo, potencial de crecimiento y la necesidad de reforzar la atención a estos clientes clave.</w:t>
        <w:br/>
        <w:t>El análisis destaca la relevancia de mantener un seguimiento proactivo y estrategias de retención dirigidas a los clientes que aportan mayor contribución financiera, optimizando los recursos de ventas y servicio al cliente para maximizar la rentabilidad anual.</w:t>
      </w:r>
    </w:p>
    <w:p>
      <w:pPr>
        <w:pStyle w:val="Heading1"/>
      </w:pPr>
      <w:r>
        <w:t>Visualización</w:t>
      </w:r>
    </w:p>
    <w:p>
      <w:r>
        <w:drawing>
          <wp:inline xmlns:a="http://schemas.openxmlformats.org/drawingml/2006/main" xmlns:pic="http://schemas.openxmlformats.org/drawingml/2006/picture">
            <wp:extent cx="5943600" cy="3129488"/>
            <wp:docPr id="2" name="Picture 2"/>
            <wp:cNvGraphicFramePr>
              <a:graphicFrameLocks noChangeAspect="1"/>
            </wp:cNvGraphicFramePr>
            <a:graphic>
              <a:graphicData uri="http://schemas.openxmlformats.org/drawingml/2006/picture">
                <pic:pic>
                  <pic:nvPicPr>
                    <pic:cNvPr id="0" name="R2_top_clientes.png"/>
                    <pic:cNvPicPr/>
                  </pic:nvPicPr>
                  <pic:blipFill>
                    <a:blip r:embed="rId12"/>
                    <a:stretch>
                      <a:fillRect/>
                    </a:stretch>
                  </pic:blipFill>
                  <pic:spPr>
                    <a:xfrm>
                      <a:off x="0" y="0"/>
                      <a:ext cx="5943600" cy="3129488"/>
                    </a:xfrm>
                    <a:prstGeom prst="rect"/>
                  </pic:spPr>
                </pic:pic>
              </a:graphicData>
            </a:graphic>
          </wp:inline>
        </w:drawing>
      </w:r>
    </w:p>
    <w:p>
      <w:pPr>
        <w:pStyle w:val="Heading1"/>
      </w:pPr>
      <w:r>
        <w:t>Detalle</w:t>
      </w:r>
    </w:p>
    <w:tbl>
      <w:tblPr>
        <w:tblStyle w:val="LightShading-Accent1"/>
        <w:tblW w:type="auto" w:w="0"/>
        <w:tblLook w:firstColumn="1" w:firstRow="1" w:lastColumn="0" w:lastRow="0" w:noHBand="0" w:noVBand="1" w:val="04A0"/>
      </w:tblPr>
      <w:tblGrid>
        <w:gridCol w:w="4320"/>
        <w:gridCol w:w="4320"/>
      </w:tblGrid>
      <w:tr>
        <w:tc>
          <w:tcPr>
            <w:tcW w:type="dxa" w:w="4320"/>
          </w:tcPr>
          <w:p>
            <w:r>
              <w:t>ClientName</w:t>
            </w:r>
          </w:p>
        </w:tc>
        <w:tc>
          <w:tcPr>
            <w:tcW w:type="dxa" w:w="4320"/>
          </w:tcPr>
          <w:p>
            <w:r>
              <w:t>TotalInvoiced</w:t>
            </w:r>
          </w:p>
        </w:tc>
      </w:tr>
      <w:tr>
        <w:tc>
          <w:tcPr>
            <w:tcW w:type="dxa" w:w="4320"/>
          </w:tcPr>
          <w:p>
            <w:r>
              <w:t>DEREMATE.COM DE MEXICO</w:t>
            </w:r>
          </w:p>
        </w:tc>
        <w:tc>
          <w:tcPr>
            <w:tcW w:type="dxa" w:w="4320"/>
          </w:tcPr>
          <w:p>
            <w:r>
              <w:t>142144771.790000</w:t>
            </w:r>
          </w:p>
        </w:tc>
      </w:tr>
      <w:tr>
        <w:tc>
          <w:tcPr>
            <w:tcW w:type="dxa" w:w="4320"/>
          </w:tcPr>
          <w:p>
            <w:r>
              <w:t>GOBIERNO DEL ESTADO DE DURANGO</w:t>
            </w:r>
          </w:p>
        </w:tc>
        <w:tc>
          <w:tcPr>
            <w:tcW w:type="dxa" w:w="4320"/>
          </w:tcPr>
          <w:p>
            <w:r>
              <w:t>123125000.000000</w:t>
            </w:r>
          </w:p>
        </w:tc>
      </w:tr>
      <w:tr>
        <w:tc>
          <w:tcPr>
            <w:tcW w:type="dxa" w:w="4320"/>
          </w:tcPr>
          <w:p>
            <w:r>
              <w:t>GOBIERNO DEL ESTADO DE MEXICO</w:t>
            </w:r>
          </w:p>
        </w:tc>
        <w:tc>
          <w:tcPr>
            <w:tcW w:type="dxa" w:w="4320"/>
          </w:tcPr>
          <w:p>
            <w:r>
              <w:t>100130353.200000</w:t>
            </w:r>
          </w:p>
        </w:tc>
      </w:tr>
      <w:tr>
        <w:tc>
          <w:tcPr>
            <w:tcW w:type="dxa" w:w="4320"/>
          </w:tcPr>
          <w:p>
            <w:r>
              <w:t>ABASTECEDORA MEXICANA DE EQUIPO DE EMERGENCIA</w:t>
            </w:r>
          </w:p>
        </w:tc>
        <w:tc>
          <w:tcPr>
            <w:tcW w:type="dxa" w:w="4320"/>
          </w:tcPr>
          <w:p>
            <w:r>
              <w:t>88257258.850000</w:t>
            </w:r>
          </w:p>
        </w:tc>
      </w:tr>
      <w:tr>
        <w:tc>
          <w:tcPr>
            <w:tcW w:type="dxa" w:w="4320"/>
          </w:tcPr>
          <w:p>
            <w:r>
              <w:t>FIDEICOMISO DE ADMINISTRACION Y PAGO SEDENA 80778</w:t>
            </w:r>
          </w:p>
        </w:tc>
        <w:tc>
          <w:tcPr>
            <w:tcW w:type="dxa" w:w="4320"/>
          </w:tcPr>
          <w:p>
            <w:r>
              <w:t>81986325.010000</w:t>
            </w:r>
          </w:p>
        </w:tc>
      </w:tr>
      <w:tr>
        <w:tc>
          <w:tcPr>
            <w:tcW w:type="dxa" w:w="4320"/>
          </w:tcPr>
          <w:p>
            <w:r>
              <w:t>SECRETARIA DE LA DEFENSA NACIONAL</w:t>
            </w:r>
          </w:p>
        </w:tc>
        <w:tc>
          <w:tcPr>
            <w:tcW w:type="dxa" w:w="4320"/>
          </w:tcPr>
          <w:p>
            <w:r>
              <w:t>72961383.520000</w:t>
            </w:r>
          </w:p>
        </w:tc>
      </w:tr>
      <w:tr>
        <w:tc>
          <w:tcPr>
            <w:tcW w:type="dxa" w:w="4320"/>
          </w:tcPr>
          <w:p>
            <w:r>
              <w:t>MUNICIPIO DE QUERETARO</w:t>
            </w:r>
          </w:p>
        </w:tc>
        <w:tc>
          <w:tcPr>
            <w:tcW w:type="dxa" w:w="4320"/>
          </w:tcPr>
          <w:p>
            <w:r>
              <w:t>65581137.460000</w:t>
            </w:r>
          </w:p>
        </w:tc>
      </w:tr>
      <w:tr>
        <w:tc>
          <w:tcPr>
            <w:tcW w:type="dxa" w:w="4320"/>
          </w:tcPr>
          <w:p>
            <w:r>
              <w:t>GOBIERNO DE LA CIUDAD DE MEXICO</w:t>
            </w:r>
          </w:p>
        </w:tc>
        <w:tc>
          <w:tcPr>
            <w:tcW w:type="dxa" w:w="4320"/>
          </w:tcPr>
          <w:p>
            <w:r>
              <w:t>53488772.840000</w:t>
            </w:r>
          </w:p>
        </w:tc>
      </w:tr>
      <w:tr>
        <w:tc>
          <w:tcPr>
            <w:tcW w:type="dxa" w:w="4320"/>
          </w:tcPr>
          <w:p>
            <w:r>
              <w:t>MUNICIPIO DE JUAREZ</w:t>
            </w:r>
          </w:p>
        </w:tc>
        <w:tc>
          <w:tcPr>
            <w:tcW w:type="dxa" w:w="4320"/>
          </w:tcPr>
          <w:p>
            <w:r>
              <w:t>53064017.220000</w:t>
            </w:r>
          </w:p>
        </w:tc>
      </w:tr>
      <w:tr>
        <w:tc>
          <w:tcPr>
            <w:tcW w:type="dxa" w:w="4320"/>
          </w:tcPr>
          <w:p>
            <w:r>
              <w:t>UNIVERSIDAD AUTONOMA DEL ESTADO DE HIDALGO</w:t>
            </w:r>
          </w:p>
        </w:tc>
        <w:tc>
          <w:tcPr>
            <w:tcW w:type="dxa" w:w="4320"/>
          </w:tcPr>
          <w:p>
            <w:r>
              <w:t>44950735.930000</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Top 10 Clientes 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