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Top 10 Clientes 2025</w:t>
      </w:r>
    </w:p>
    <w:p>
      <w:r>
        <w:rPr>
          <w:color w:val="6B7280"/>
          <w:sz w:val="24"/>
        </w:rPr>
        <w:t>Modelo: qwen3-coder-30b (local) · INT_PROD_LAB · 2025</w:t>
      </w:r>
    </w:p>
    <w:tbl>
      <w:tblPr>
        <w:tblStyle w:val="TableGrid"/>
        <w:tblW w:type="auto" w:w="0"/>
        <w:tblLook w:firstColumn="1" w:firstRow="1" w:lastColumn="0" w:lastRow="0" w:noHBand="0" w:noVBand="1" w:val="04A0"/>
      </w:tblPr>
      <w:tblGrid>
        <w:gridCol w:w="4320"/>
        <w:gridCol w:w="4320"/>
      </w:tblGrid>
      <w:tr>
        <w:tc>
          <w:tcPr>
            <w:tcW w:type="dxa" w:w="4320"/>
          </w:tcPr>
          <w:p>
            <w:r>
              <w:t>Registros</w:t>
            </w:r>
          </w:p>
        </w:tc>
        <w:tc>
          <w:tcPr>
            <w:tcW w:type="dxa" w:w="4320"/>
          </w:tcPr>
          <w:p>
            <w:r>
              <w:t>$10.00</w:t>
            </w:r>
          </w:p>
        </w:tc>
      </w:tr>
    </w:tbl>
    <w:p>
      <w:r>
        <w:br w:type="page"/>
      </w:r>
    </w:p>
    <w:p>
      <w:pPr>
        <w:pStyle w:val="Heading1"/>
      </w:pPr>
      <w:r>
        <w:t>Resumen ejecutivo</w:t>
      </w:r>
    </w:p>
    <w:p>
      <w:r>
        <w:t>La consulta permite identificar los 10 clientes que más facturaron durante el año 2025, utilizando las tablas OINV y OCRD. Se une la tabla de documentos (OINV) con la de clientes (OCRD) a través del código de cliente (CardCode), filtrando por año 2025 en la fecha del documento (DocDate). Se agrupa por nombre de cliente (CardName) y se suma el monto total facturado (DocTotal). Los resultados se ordenan de manera descendente según el monto total para obtener los clientes con mayores ventas. Esta información es útil para análisis de performance de clientes y toma de decisiones comerciales.</w:t>
      </w:r>
    </w:p>
    <w:p>
      <w:r>
        <w:t>El resultado muestra únicamente los 10 primeros clientes con mayor volumen de facturación, facilitando la identificación de los principales contribuyentes a las ventas anuales y permitiendo enfocar estrategias de retención o promoción en estos clientes clave.</w:t>
      </w:r>
    </w:p>
    <w:p>
      <w:pPr>
        <w:pStyle w:val="Heading1"/>
      </w:pPr>
      <w:r>
        <w:t>Visualización</w:t>
      </w:r>
    </w:p>
    <w:p>
      <w:r>
        <w:drawing>
          <wp:inline xmlns:a="http://schemas.openxmlformats.org/drawingml/2006/main" xmlns:pic="http://schemas.openxmlformats.org/drawingml/2006/picture">
            <wp:extent cx="5943600" cy="3155244"/>
            <wp:docPr id="2" name="Picture 2"/>
            <wp:cNvGraphicFramePr>
              <a:graphicFrameLocks noChangeAspect="1"/>
            </wp:cNvGraphicFramePr>
            <a:graphic>
              <a:graphicData uri="http://schemas.openxmlformats.org/drawingml/2006/picture">
                <pic:pic>
                  <pic:nvPicPr>
                    <pic:cNvPr id="0" name="R2_top_clientes.png"/>
                    <pic:cNvPicPr/>
                  </pic:nvPicPr>
                  <pic:blipFill>
                    <a:blip r:embed="rId12"/>
                    <a:stretch>
                      <a:fillRect/>
                    </a:stretch>
                  </pic:blipFill>
                  <pic:spPr>
                    <a:xfrm>
                      <a:off x="0" y="0"/>
                      <a:ext cx="5943600" cy="3155244"/>
                    </a:xfrm>
                    <a:prstGeom prst="rect"/>
                  </pic:spPr>
                </pic:pic>
              </a:graphicData>
            </a:graphic>
          </wp:inline>
        </w:drawing>
      </w:r>
    </w:p>
    <w:p>
      <w:pPr>
        <w:pStyle w:val="Heading1"/>
      </w:pPr>
      <w:r>
        <w:t>Detalle</w:t>
      </w:r>
    </w:p>
    <w:tbl>
      <w:tblPr>
        <w:tblStyle w:val="LightShading-Accent1"/>
        <w:tblW w:type="auto" w:w="0"/>
        <w:tblLook w:firstColumn="1" w:firstRow="1" w:lastColumn="0" w:lastRow="0" w:noHBand="0" w:noVBand="1" w:val="04A0"/>
      </w:tblPr>
      <w:tblGrid>
        <w:gridCol w:w="4320"/>
        <w:gridCol w:w="4320"/>
      </w:tblGrid>
      <w:tr>
        <w:tc>
          <w:tcPr>
            <w:tcW w:type="dxa" w:w="4320"/>
          </w:tcPr>
          <w:p>
            <w:r>
              <w:t>CardName</w:t>
            </w:r>
          </w:p>
        </w:tc>
        <w:tc>
          <w:tcPr>
            <w:tcW w:type="dxa" w:w="4320"/>
          </w:tcPr>
          <w:p>
            <w:r>
              <w:t>TotalFacturado</w:t>
            </w:r>
          </w:p>
        </w:tc>
      </w:tr>
      <w:tr>
        <w:tc>
          <w:tcPr>
            <w:tcW w:type="dxa" w:w="4320"/>
          </w:tcPr>
          <w:p>
            <w:r>
              <w:t>GOBIERNO DEL ESTADO DE DURANGO</w:t>
            </w:r>
          </w:p>
        </w:tc>
        <w:tc>
          <w:tcPr>
            <w:tcW w:type="dxa" w:w="4320"/>
          </w:tcPr>
          <w:p>
            <w:r>
              <w:t>320125000.000000</w:t>
            </w:r>
          </w:p>
        </w:tc>
      </w:tr>
      <w:tr>
        <w:tc>
          <w:tcPr>
            <w:tcW w:type="dxa" w:w="4320"/>
          </w:tcPr>
          <w:p>
            <w:r>
              <w:t>GOBIERNO DEL ESTADO DE MEXICO</w:t>
            </w:r>
          </w:p>
        </w:tc>
        <w:tc>
          <w:tcPr>
            <w:tcW w:type="dxa" w:w="4320"/>
          </w:tcPr>
          <w:p>
            <w:r>
              <w:t>300391059.600000</w:t>
            </w:r>
          </w:p>
        </w:tc>
      </w:tr>
      <w:tr>
        <w:tc>
          <w:tcPr>
            <w:tcW w:type="dxa" w:w="4320"/>
          </w:tcPr>
          <w:p>
            <w:r>
              <w:t>ABASTECEDORA MEXICANA DE EQUIPO DE EMERGENCIA</w:t>
            </w:r>
          </w:p>
        </w:tc>
        <w:tc>
          <w:tcPr>
            <w:tcW w:type="dxa" w:w="4320"/>
          </w:tcPr>
          <w:p>
            <w:r>
              <w:t>294015595.010000</w:t>
            </w:r>
          </w:p>
        </w:tc>
      </w:tr>
      <w:tr>
        <w:tc>
          <w:tcPr>
            <w:tcW w:type="dxa" w:w="4320"/>
          </w:tcPr>
          <w:p>
            <w:r>
              <w:t>FIDEICOMISO DE ADMINISTRACION Y PAGO SEDENA 80778</w:t>
            </w:r>
          </w:p>
        </w:tc>
        <w:tc>
          <w:tcPr>
            <w:tcW w:type="dxa" w:w="4320"/>
          </w:tcPr>
          <w:p>
            <w:r>
              <w:t>282491165.010000</w:t>
            </w:r>
          </w:p>
        </w:tc>
      </w:tr>
      <w:tr>
        <w:tc>
          <w:tcPr>
            <w:tcW w:type="dxa" w:w="4320"/>
          </w:tcPr>
          <w:p>
            <w:r>
              <w:t>MUNICIPIO DE JUAREZ</w:t>
            </w:r>
          </w:p>
        </w:tc>
        <w:tc>
          <w:tcPr>
            <w:tcW w:type="dxa" w:w="4320"/>
          </w:tcPr>
          <w:p>
            <w:r>
              <w:t>214776465.220000</w:t>
            </w:r>
          </w:p>
        </w:tc>
      </w:tr>
      <w:tr>
        <w:tc>
          <w:tcPr>
            <w:tcW w:type="dxa" w:w="4320"/>
          </w:tcPr>
          <w:p>
            <w:r>
              <w:t>DEREMATE.COM DE MEXICO</w:t>
            </w:r>
          </w:p>
        </w:tc>
        <w:tc>
          <w:tcPr>
            <w:tcW w:type="dxa" w:w="4320"/>
          </w:tcPr>
          <w:p>
            <w:r>
              <w:t>191468048.090000</w:t>
            </w:r>
          </w:p>
        </w:tc>
      </w:tr>
      <w:tr>
        <w:tc>
          <w:tcPr>
            <w:tcW w:type="dxa" w:w="4320"/>
          </w:tcPr>
          <w:p>
            <w:r>
              <w:t>MUNICIPIO DE QUERETARO</w:t>
            </w:r>
          </w:p>
        </w:tc>
        <w:tc>
          <w:tcPr>
            <w:tcW w:type="dxa" w:w="4320"/>
          </w:tcPr>
          <w:p>
            <w:r>
              <w:t>156040464.420000</w:t>
            </w:r>
          </w:p>
        </w:tc>
      </w:tr>
      <w:tr>
        <w:tc>
          <w:tcPr>
            <w:tcW w:type="dxa" w:w="4320"/>
          </w:tcPr>
          <w:p>
            <w:r>
              <w:t>GOBIERNO DE LA CIUDAD DE MEXICO</w:t>
            </w:r>
          </w:p>
        </w:tc>
        <w:tc>
          <w:tcPr>
            <w:tcW w:type="dxa" w:w="4320"/>
          </w:tcPr>
          <w:p>
            <w:r>
              <w:t>144782148.720000</w:t>
            </w:r>
          </w:p>
        </w:tc>
      </w:tr>
      <w:tr>
        <w:tc>
          <w:tcPr>
            <w:tcW w:type="dxa" w:w="4320"/>
          </w:tcPr>
          <w:p>
            <w:r>
              <w:t>GOBIERNO DEL ESTADO DE PUEBLA</w:t>
            </w:r>
          </w:p>
        </w:tc>
        <w:tc>
          <w:tcPr>
            <w:tcW w:type="dxa" w:w="4320"/>
          </w:tcPr>
          <w:p>
            <w:r>
              <w:t>110918670.100000</w:t>
            </w:r>
          </w:p>
        </w:tc>
      </w:tr>
      <w:tr>
        <w:tc>
          <w:tcPr>
            <w:tcW w:type="dxa" w:w="4320"/>
          </w:tcPr>
          <w:p>
            <w:r>
              <w:t>SECRETARIA DE LA DEFENSA NACIONAL</w:t>
            </w:r>
          </w:p>
        </w:tc>
        <w:tc>
          <w:tcPr>
            <w:tcW w:type="dxa" w:w="4320"/>
          </w:tcPr>
          <w:p>
            <w:r>
              <w:t>96908589.040000</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Top 10 Clientes 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