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Antiguedad de Cuentas por Cobrar</w:t>
      </w:r>
    </w:p>
    <w:p>
      <w:r>
        <w:rPr>
          <w:color w:val="6B7280"/>
          <w:sz w:val="24"/>
        </w:rPr>
        <w:t>Modelo: qwen3-coder-30b (local)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$1.00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análisis muestra la distribución de las facturas con saldo pendiente entre cuatro buckets de antigüedad: 0-30 días, 31-60 días, 61-90 días y más de 90 días. Se filtran únicamente las facturas que están activas (no canceladas) y corresponden a documentos de tipo 'I' (facturas). Este reporte permite identificar la concentración de cartera vencida y facilita la toma de decisiones en cuanto a seguimiento de cobranza. El cálculo se realiza comparando la fecha de factura con la fecha actual para determinar la antigüedad del saldo pendiente.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3_aging_cx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Bucket</w:t>
            </w:r>
          </w:p>
        </w:tc>
        <w:tc>
          <w:tcPr>
            <w:tcW w:type="dxa" w:w="2880"/>
          </w:tcPr>
          <w:p>
            <w:r>
              <w:t>CantidadFacturas</w:t>
            </w:r>
          </w:p>
        </w:tc>
        <w:tc>
          <w:tcPr>
            <w:tcW w:type="dxa" w:w="2880"/>
          </w:tcPr>
          <w:p>
            <w:r>
              <w:t>SaldoPendiente</w:t>
            </w:r>
          </w:p>
        </w:tc>
      </w:tr>
      <w:tr>
        <w:tc>
          <w:tcPr>
            <w:tcW w:type="dxa" w:w="2880"/>
          </w:tcPr>
          <w:p>
            <w:r>
              <w:t>MA¡s de 90 dA-as</w:t>
            </w:r>
          </w:p>
        </w:tc>
        <w:tc>
          <w:tcPr>
            <w:tcW w:type="dxa" w:w="2880"/>
          </w:tcPr>
          <w:p>
            <w:r>
              <w:t>123</w:t>
            </w:r>
          </w:p>
        </w:tc>
        <w:tc>
          <w:tcPr>
            <w:tcW w:type="dxa" w:w="2880"/>
          </w:tcPr>
          <w:p>
            <w:r>
              <w:t>442542149.560000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Antiguedad de Cuentas por Cobrar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