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969764"/>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371600" cy="969764"/>
                    </a:xfrm>
                    <a:prstGeom prst="rect"/>
                  </pic:spPr>
                </pic:pic>
              </a:graphicData>
            </a:graphic>
          </wp:inline>
        </w:drawing>
      </w:r>
    </w:p>
    <w:p>
      <w:pPr>
        <w:jc w:val="left"/>
      </w:pPr>
      <w:r>
        <w:rPr>
          <w:b/>
          <w:color w:val="1F4E79"/>
          <w:sz w:val="52"/>
        </w:rPr>
        <w:t>Stock bajo Punto de Reorden</w:t>
      </w:r>
    </w:p>
    <w:p>
      <w:r>
        <w:rPr>
          <w:color w:val="6B7280"/>
          <w:sz w:val="24"/>
        </w:rPr>
        <w:t>Modelo: deepseek-v4-pro (comercial) · INT_PROD_LAB · 2025</w:t>
      </w:r>
    </w:p>
    <w:p>
      <w:r>
        <w:br w:type="page"/>
      </w:r>
    </w:p>
    <w:p>
      <w:pPr>
        <w:pStyle w:val="Heading1"/>
      </w:pPr>
      <w:r>
        <w:t>Resumen ejecutivo</w:t>
      </w:r>
    </w:p>
    <w:p>
      <w:r>
        <w:t>Se identificaron los artículos de inventario cuyo stock total actual, calculado como la suma de existencias por almacén en OITW, se encuentra por debajo del nivel mínimo definido en OITM (MinLevel). La consulta considera únicamente artículos activos no cancelados y con punto de reorden configurado.</w:t>
      </w:r>
    </w:p>
    <w:p>
      <w:r>
        <w:t>El resultado permite priorizar la reposición de existencias críticas, mostrando el código, nombre, stock disponible y el mínimo requerido. El gráfico adjunto compara visualmente las unidades actuales frente al mínimo para cada artículo con faltante.</w:t>
      </w:r>
    </w:p>
    <w:p>
      <w:pPr>
        <w:pStyle w:val="Heading1"/>
      </w:pPr>
      <w:r>
        <w:t>Detalle</w:t>
      </w:r>
    </w:p>
    <w:tbl>
      <w:tblPr>
        <w:tblStyle w:val="LightShading-Accent1"/>
        <w:tblW w:type="auto" w:w="0"/>
        <w:tblLook w:firstColumn="1" w:firstRow="1" w:lastColumn="0" w:lastRow="0" w:noHBand="0" w:noVBand="1" w:val="04A0"/>
      </w:tblPr>
      <w:tblGrid>
        <w:gridCol w:w="2160"/>
        <w:gridCol w:w="2160"/>
        <w:gridCol w:w="2160"/>
        <w:gridCol w:w="2160"/>
      </w:tblGrid>
      <w:tr>
        <w:tc>
          <w:tcPr>
            <w:tcW w:type="dxa" w:w="2160"/>
          </w:tcPr>
          <w:p>
            <w:r>
              <w:t>Codigo</w:t>
            </w:r>
          </w:p>
        </w:tc>
        <w:tc>
          <w:tcPr>
            <w:tcW w:type="dxa" w:w="2160"/>
          </w:tcPr>
          <w:p>
            <w:r>
              <w:t>Nombre</w:t>
            </w:r>
          </w:p>
        </w:tc>
        <w:tc>
          <w:tcPr>
            <w:tcW w:type="dxa" w:w="2160"/>
          </w:tcPr>
          <w:p>
            <w:r>
              <w:t>StockActual</w:t>
            </w:r>
          </w:p>
        </w:tc>
        <w:tc>
          <w:tcPr>
            <w:tcW w:type="dxa" w:w="2160"/>
          </w:tcPr>
          <w:p>
            <w:r>
              <w:t>Minimo</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Confidencial · INT Business One Copilot · Uso interno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Stock bajo Punto de Reorden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6B728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6B728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