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Stock bajo Punto de Reorden</w:t>
      </w:r>
    </w:p>
    <w:p>
      <w:r>
        <w:rPr>
          <w:color w:val="6B7280"/>
          <w:sz w:val="24"/>
        </w:rPr>
        <w:t>Modelo: openrouter-auto (comercial) · INT_PROD_LAB · 2025</w:t>
      </w:r>
    </w:p>
    <w:p>
      <w:r>
        <w:br w:type="page"/>
      </w:r>
    </w:p>
    <w:p>
      <w:pPr>
        <w:pStyle w:val="Heading1"/>
      </w:pPr>
      <w:r>
        <w:t>Resumen ejecutivo</w:t>
      </w:r>
    </w:p>
    <w:p>
      <w:r>
        <w:t>La consulta suma el stock actual por artículo en todas las bodegas desde OITW y lo compara contra el punto de reorden definido en OITM.ReorderPnt. Se consideran únicamente artículos de inventario activos, no eliminados y con punto de reorden mayor que cero, devolviendo código, nombre, stock actual y mínimo/punto de reorden.</w:t>
      </w:r>
    </w:p>
    <w:p>
      <w:r>
        <w:t>El resultado se ordena de menor a mayor stock actual para priorizar reposición. Es una consulta de solo lectura útil para identificar artículos que requieren reabastecimiento porque su existencia total está por debajo del umbral configurado.</w:t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ItemCode</w:t>
            </w:r>
          </w:p>
        </w:tc>
        <w:tc>
          <w:tcPr>
            <w:tcW w:type="dxa" w:w="2160"/>
          </w:tcPr>
          <w:p>
            <w:r>
              <w:t>ItemName</w:t>
            </w:r>
          </w:p>
        </w:tc>
        <w:tc>
          <w:tcPr>
            <w:tcW w:type="dxa" w:w="2160"/>
          </w:tcPr>
          <w:p>
            <w:r>
              <w:t>StockActual</w:t>
            </w:r>
          </w:p>
        </w:tc>
        <w:tc>
          <w:tcPr>
            <w:tcW w:type="dxa" w:w="2160"/>
          </w:tcPr>
          <w:p>
            <w:r>
              <w:t>Minimo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Stock bajo Punto de Reorden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