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371600" cy="969764"/>
            <wp:docPr id="1" name="Picture 1"/>
            <wp:cNvGraphicFramePr>
              <a:graphicFrameLocks noChangeAspect="1"/>
            </wp:cNvGraphicFramePr>
            <a:graphic>
              <a:graphicData uri="http://schemas.openxmlformats.org/drawingml/2006/picture">
                <pic:pic>
                  <pic:nvPicPr>
                    <pic:cNvPr id="0" name="logo.png"/>
                    <pic:cNvPicPr/>
                  </pic:nvPicPr>
                  <pic:blipFill>
                    <a:blip r:embed="rId11"/>
                    <a:stretch>
                      <a:fillRect/>
                    </a:stretch>
                  </pic:blipFill>
                  <pic:spPr>
                    <a:xfrm>
                      <a:off x="0" y="0"/>
                      <a:ext cx="1371600" cy="969764"/>
                    </a:xfrm>
                    <a:prstGeom prst="rect"/>
                  </pic:spPr>
                </pic:pic>
              </a:graphicData>
            </a:graphic>
          </wp:inline>
        </w:drawing>
      </w:r>
    </w:p>
    <w:p>
      <w:pPr>
        <w:jc w:val="left"/>
      </w:pPr>
      <w:r>
        <w:rPr>
          <w:b/>
          <w:color w:val="1F4E79"/>
          <w:sz w:val="52"/>
        </w:rPr>
        <w:t>Stock bajo Punto de Reorden</w:t>
      </w:r>
    </w:p>
    <w:p>
      <w:r>
        <w:rPr>
          <w:color w:val="6B7280"/>
          <w:sz w:val="24"/>
        </w:rPr>
        <w:t>Modelo: gpt-oss-20b (local) · INT_PROD_LAB · 2025</w:t>
      </w:r>
    </w:p>
    <w:p>
      <w:r>
        <w:br w:type="page"/>
      </w:r>
    </w:p>
    <w:p>
      <w:pPr>
        <w:pStyle w:val="Heading1"/>
      </w:pPr>
      <w:r>
        <w:t>Resumen ejecutivo</w:t>
      </w:r>
    </w:p>
    <w:p>
      <w:r>
        <w:t>La consulta identifica los artículos cuyo stock total actual (suma de existencias en todos los almacenes) está por debajo de su punto de reorden. Estos registros son críticos, ya que indican una tendencia a la falta de inventario que podría interrumpir la cadena de suministro.</w:t>
      </w:r>
    </w:p>
    <w:p>
      <w:r>
        <w:t>Con esta información, el equipo de compras y almacén puede priorizar las órdenes de reposición, ajustar los parámetros de reorden o revisar la demanda proyectada. La rápida visibilidad de estos artículos permite evitar ventas perdidas, mejorar la satisfacción del cliente y optimizar los niveles de inventario.</w:t>
      </w:r>
    </w:p>
    <w:p>
      <w:pPr>
        <w:pStyle w:val="Heading1"/>
      </w:pPr>
      <w:r>
        <w:t>Detalle</w:t>
      </w:r>
    </w:p>
    <w:tbl>
      <w:tblPr>
        <w:tblStyle w:val="LightShading-Accent1"/>
        <w:tblW w:type="auto" w:w="0"/>
        <w:tblLook w:firstColumn="1" w:firstRow="1" w:lastColumn="0" w:lastRow="0" w:noHBand="0" w:noVBand="1" w:val="04A0"/>
      </w:tblPr>
      <w:tblGrid>
        <w:gridCol w:w="2160"/>
        <w:gridCol w:w="2160"/>
        <w:gridCol w:w="2160"/>
        <w:gridCol w:w="2160"/>
      </w:tblGrid>
      <w:tr>
        <w:tc>
          <w:tcPr>
            <w:tcW w:type="dxa" w:w="2160"/>
          </w:tcPr>
          <w:p>
            <w:r>
              <w:t>ItemCode</w:t>
            </w:r>
          </w:p>
        </w:tc>
        <w:tc>
          <w:tcPr>
            <w:tcW w:type="dxa" w:w="2160"/>
          </w:tcPr>
          <w:p>
            <w:r>
              <w:t>ItemName</w:t>
            </w:r>
          </w:p>
        </w:tc>
        <w:tc>
          <w:tcPr>
            <w:tcW w:type="dxa" w:w="2160"/>
          </w:tcPr>
          <w:p>
            <w:r>
              <w:t>TotalOnHand</w:t>
            </w:r>
          </w:p>
        </w:tc>
        <w:tc>
          <w:tcPr>
            <w:tcW w:type="dxa" w:w="2160"/>
          </w:tcPr>
          <w:p>
            <w:r>
              <w:t>ReorderPnt</w:t>
            </w:r>
          </w:p>
        </w:tc>
      </w:tr>
    </w:tbl>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Confidencial · INT Business One Copilot · Uso interno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Stock bajo Punto de Reorden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6B728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6B728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