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Stock bajo Punto de Reorden</w:t>
      </w:r>
    </w:p>
    <w:p>
      <w:r>
        <w:rPr>
          <w:color w:val="6B7280"/>
          <w:sz w:val="24"/>
        </w:rPr>
        <w:t>Modelo: qwen3-coder-30b (local) · INT_PROD_LAB · 2025</w:t>
      </w:r>
    </w:p>
    <w:p>
      <w:r>
        <w:br w:type="page"/>
      </w:r>
    </w:p>
    <w:p>
      <w:pPr>
        <w:pStyle w:val="Heading1"/>
      </w:pPr>
      <w:r>
        <w:t>Resumen ejecutivo</w:t>
      </w:r>
    </w:p>
    <w:p>
      <w:r>
        <w:t>La consulta busca artículos cuyo stock actual esté por debajo del nivel mínimo de reorden definido en el sistema. Se utiliza una combinación entre las tablas OITM (maestros de artículos) y OITW (almacén por artículo), filtrando únicamente aquellos artículos que están activos (no cancelados) y son inventariables. Esto permite identificar rápidamente los productos con bajo stock que requieren atención inmediata para evitar rupturas de suministro. Los resultados se ordenan de menor a mayor stock actual, facilitando la priorización de acciones correctivas.</w:t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ItemCode</w:t>
            </w:r>
          </w:p>
        </w:tc>
        <w:tc>
          <w:tcPr>
            <w:tcW w:type="dxa" w:w="2160"/>
          </w:tcPr>
          <w:p>
            <w:r>
              <w:t>ItemName</w:t>
            </w:r>
          </w:p>
        </w:tc>
        <w:tc>
          <w:tcPr>
            <w:tcW w:type="dxa" w:w="2160"/>
          </w:tcPr>
          <w:p>
            <w:r>
              <w:t>ActualStock</w:t>
            </w:r>
          </w:p>
        </w:tc>
        <w:tc>
          <w:tcPr>
            <w:tcW w:type="dxa" w:w="2160"/>
          </w:tcPr>
          <w:p>
            <w:r>
              <w:t>MinReorderQty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Stock bajo Punto de Reorden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