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Ventas 2025 por Vendedor</w:t>
      </w:r>
    </w:p>
    <w:p>
      <w:r>
        <w:rPr>
          <w:color w:val="6B7280"/>
          <w:sz w:val="24"/>
        </w:rPr>
        <w:t>Modelo: deepseek-v4-pro (comercial)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La consulta extrae las facturas de venta de OINV emitidas entre el 1 de enero de 2025 y el 31 de diciembre de 2025, excluyendo los documentos cancelados. Se vincula cada factura con su vendedor mediante la tabla OSLP y se suma el importe total facturado (DocTotal).</w:t>
      </w:r>
    </w:p>
    <w:p>
      <w:r>
        <w:t>El resultado muestra el ranking de vendedores de mayor a menor facturación, permitiendo evaluar la contribución individual al total de ventas del año 2025.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1_ventas_vendedo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Vendedor</w:t>
            </w:r>
          </w:p>
        </w:tc>
        <w:tc>
          <w:tcPr>
            <w:tcW w:type="dxa" w:w="4320"/>
          </w:tcPr>
          <w:p>
            <w:r>
              <w:t>Total facturado</w:t>
            </w:r>
          </w:p>
        </w:tc>
      </w:tr>
      <w:tr>
        <w:tc>
          <w:tcPr>
            <w:tcW w:type="dxa" w:w="4320"/>
          </w:tcPr>
          <w:p>
            <w:r>
              <w:t>Abril Etzalli Garrido</w:t>
            </w:r>
          </w:p>
        </w:tc>
        <w:tc>
          <w:tcPr>
            <w:tcW w:type="dxa" w:w="4320"/>
          </w:tcPr>
          <w:p>
            <w:r>
              <w:t>18,400,000.00</w:t>
            </w:r>
          </w:p>
        </w:tc>
      </w:tr>
      <w:tr>
        <w:tc>
          <w:tcPr>
            <w:tcW w:type="dxa" w:w="4320"/>
          </w:tcPr>
          <w:p>
            <w:r>
              <w:t>Adrian Ontiveros</w:t>
            </w:r>
          </w:p>
        </w:tc>
        <w:tc>
          <w:tcPr>
            <w:tcW w:type="dxa" w:w="4320"/>
          </w:tcPr>
          <w:p>
            <w:r>
              <w:t>15,200,000.00</w:t>
            </w:r>
          </w:p>
        </w:tc>
      </w:tr>
      <w:tr>
        <w:tc>
          <w:tcPr>
            <w:tcW w:type="dxa" w:w="4320"/>
          </w:tcPr>
          <w:p>
            <w:r>
              <w:t>Alberto Chindo</w:t>
            </w:r>
          </w:p>
        </w:tc>
        <w:tc>
          <w:tcPr>
            <w:tcW w:type="dxa" w:w="4320"/>
          </w:tcPr>
          <w:p>
            <w:r>
              <w:t>12,800,000.00</w:t>
            </w:r>
          </w:p>
        </w:tc>
      </w:tr>
      <w:tr>
        <w:tc>
          <w:tcPr>
            <w:tcW w:type="dxa" w:w="4320"/>
          </w:tcPr>
          <w:p>
            <w:r>
              <w:t>Alejandra Ramos</w:t>
            </w:r>
          </w:p>
        </w:tc>
        <w:tc>
          <w:tcPr>
            <w:tcW w:type="dxa" w:w="4320"/>
          </w:tcPr>
          <w:p>
            <w:r>
              <w:t>9,600,000.00</w:t>
            </w:r>
          </w:p>
        </w:tc>
      </w:tr>
      <w:tr>
        <w:tc>
          <w:tcPr>
            <w:tcW w:type="dxa" w:w="4320"/>
          </w:tcPr>
          <w:p>
            <w:r>
              <w:t>Omar Sanchez</w:t>
            </w:r>
          </w:p>
        </w:tc>
        <w:tc>
          <w:tcPr>
            <w:tcW w:type="dxa" w:w="4320"/>
          </w:tcPr>
          <w:p>
            <w:r>
              <w:t>7,100,000.00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Ventas 2025 por Vendedor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