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371600" cy="96976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697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color w:val="1F4E79"/>
          <w:sz w:val="52"/>
        </w:rPr>
        <w:t>Ventas 2025 por Vendedor</w:t>
      </w:r>
    </w:p>
    <w:p>
      <w:r>
        <w:rPr>
          <w:color w:val="6B7280"/>
          <w:sz w:val="24"/>
        </w:rPr>
        <w:t>Modelo: openrouter-auto (comercial) · INT_PROD_LAB · Datos de muestra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Registros</w:t>
            </w:r>
          </w:p>
        </w:tc>
        <w:tc>
          <w:tcPr>
            <w:tcW w:type="dxa" w:w="4320"/>
          </w:tcPr>
          <w:p>
            <w:r>
              <w:t>$5.00</w:t>
            </w:r>
          </w:p>
        </w:tc>
      </w:tr>
    </w:tbl>
    <w:p>
      <w:r>
        <w:br w:type="page"/>
      </w:r>
    </w:p>
    <w:p>
      <w:pPr>
        <w:pStyle w:val="Heading1"/>
      </w:pPr>
      <w:r>
        <w:t>Resumen ejecutivo</w:t>
      </w:r>
    </w:p>
    <w:p>
      <w:r>
        <w:t>Se calcula el total de facturas no canceladas con fecha de contabilización en 2025, agrupado por vendedor y ordenado de mayor a menor. Se incluyen los documentos sin vendedor asignado bajo “(Sin vendedor)”.</w:t>
        <w:br/>
        <w:t>El importe corresponde a la suma de DocTotal, expresado en moneda local según SAP Business One.</w:t>
      </w:r>
    </w:p>
    <w:p>
      <w:pPr>
        <w:pStyle w:val="Heading1"/>
      </w:pPr>
      <w:r>
        <w:t>Visualización</w:t>
      </w:r>
    </w:p>
    <w:p>
      <w:r>
        <w:drawing>
          <wp:inline xmlns:a="http://schemas.openxmlformats.org/drawingml/2006/main" xmlns:pic="http://schemas.openxmlformats.org/drawingml/2006/picture">
            <wp:extent cx="5943600" cy="315524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1_ventas_vendedor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552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Detalle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Vendedor</w:t>
            </w:r>
          </w:p>
        </w:tc>
        <w:tc>
          <w:tcPr>
            <w:tcW w:type="dxa" w:w="4320"/>
          </w:tcPr>
          <w:p>
            <w:r>
              <w:t>Total facturado</w:t>
            </w:r>
          </w:p>
        </w:tc>
      </w:tr>
      <w:tr>
        <w:tc>
          <w:tcPr>
            <w:tcW w:type="dxa" w:w="4320"/>
          </w:tcPr>
          <w:p>
            <w:r>
              <w:t>Abril Etzalli Garrido</w:t>
            </w:r>
          </w:p>
        </w:tc>
        <w:tc>
          <w:tcPr>
            <w:tcW w:type="dxa" w:w="4320"/>
          </w:tcPr>
          <w:p>
            <w:r>
              <w:t>18,400,000.00</w:t>
            </w:r>
          </w:p>
        </w:tc>
      </w:tr>
      <w:tr>
        <w:tc>
          <w:tcPr>
            <w:tcW w:type="dxa" w:w="4320"/>
          </w:tcPr>
          <w:p>
            <w:r>
              <w:t>Adrian Ontiveros</w:t>
            </w:r>
          </w:p>
        </w:tc>
        <w:tc>
          <w:tcPr>
            <w:tcW w:type="dxa" w:w="4320"/>
          </w:tcPr>
          <w:p>
            <w:r>
              <w:t>15,200,000.00</w:t>
            </w:r>
          </w:p>
        </w:tc>
      </w:tr>
      <w:tr>
        <w:tc>
          <w:tcPr>
            <w:tcW w:type="dxa" w:w="4320"/>
          </w:tcPr>
          <w:p>
            <w:r>
              <w:t>Alberto Chindo</w:t>
            </w:r>
          </w:p>
        </w:tc>
        <w:tc>
          <w:tcPr>
            <w:tcW w:type="dxa" w:w="4320"/>
          </w:tcPr>
          <w:p>
            <w:r>
              <w:t>12,800,000.00</w:t>
            </w:r>
          </w:p>
        </w:tc>
      </w:tr>
      <w:tr>
        <w:tc>
          <w:tcPr>
            <w:tcW w:type="dxa" w:w="4320"/>
          </w:tcPr>
          <w:p>
            <w:r>
              <w:t>Alejandra Ramos</w:t>
            </w:r>
          </w:p>
        </w:tc>
        <w:tc>
          <w:tcPr>
            <w:tcW w:type="dxa" w:w="4320"/>
          </w:tcPr>
          <w:p>
            <w:r>
              <w:t>9,600,000.00</w:t>
            </w:r>
          </w:p>
        </w:tc>
      </w:tr>
      <w:tr>
        <w:tc>
          <w:tcPr>
            <w:tcW w:type="dxa" w:w="4320"/>
          </w:tcPr>
          <w:p>
            <w:r>
              <w:t>Omar Sanchez</w:t>
            </w:r>
          </w:p>
        </w:tc>
        <w:tc>
          <w:tcPr>
            <w:tcW w:type="dxa" w:w="4320"/>
          </w:tcPr>
          <w:p>
            <w:r>
              <w:t>7,100,000.00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Confidencial · INT Business One Copilot · Uso interno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Ventas 2025 por Vendedor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6B7280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6B728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