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371600" cy="969764"/>
            <wp:docPr id="1" name="Picture 1"/>
            <wp:cNvGraphicFramePr>
              <a:graphicFrameLocks noChangeAspect="1"/>
            </wp:cNvGraphicFramePr>
            <a:graphic>
              <a:graphicData uri="http://schemas.openxmlformats.org/drawingml/2006/picture">
                <pic:pic>
                  <pic:nvPicPr>
                    <pic:cNvPr id="0" name="logo.png"/>
                    <pic:cNvPicPr/>
                  </pic:nvPicPr>
                  <pic:blipFill>
                    <a:blip r:embed="rId11"/>
                    <a:stretch>
                      <a:fillRect/>
                    </a:stretch>
                  </pic:blipFill>
                  <pic:spPr>
                    <a:xfrm>
                      <a:off x="0" y="0"/>
                      <a:ext cx="1371600" cy="969764"/>
                    </a:xfrm>
                    <a:prstGeom prst="rect"/>
                  </pic:spPr>
                </pic:pic>
              </a:graphicData>
            </a:graphic>
          </wp:inline>
        </w:drawing>
      </w:r>
    </w:p>
    <w:p>
      <w:pPr>
        <w:jc w:val="left"/>
      </w:pPr>
      <w:r>
        <w:rPr>
          <w:b/>
          <w:color w:val="1F4E79"/>
          <w:sz w:val="52"/>
        </w:rPr>
        <w:t>Ventas 2025 por Vendedor</w:t>
      </w:r>
    </w:p>
    <w:p>
      <w:r>
        <w:rPr>
          <w:color w:val="6B7280"/>
          <w:sz w:val="24"/>
        </w:rPr>
        <w:t>Modelo: gpt-oss-20b (local) · INT_PROD_LAB · Datos de muestra</w:t>
      </w:r>
    </w:p>
    <w:tbl>
      <w:tblPr>
        <w:tblStyle w:val="TableGrid"/>
        <w:tblW w:type="auto" w:w="0"/>
        <w:tblLook w:firstColumn="1" w:firstRow="1" w:lastColumn="0" w:lastRow="0" w:noHBand="0" w:noVBand="1" w:val="04A0"/>
      </w:tblPr>
      <w:tblGrid>
        <w:gridCol w:w="4320"/>
        <w:gridCol w:w="4320"/>
      </w:tblGrid>
      <w:tr>
        <w:tc>
          <w:tcPr>
            <w:tcW w:type="dxa" w:w="4320"/>
          </w:tcPr>
          <w:p>
            <w:r>
              <w:t>Registros</w:t>
            </w:r>
          </w:p>
        </w:tc>
        <w:tc>
          <w:tcPr>
            <w:tcW w:type="dxa" w:w="4320"/>
          </w:tcPr>
          <w:p>
            <w:r>
              <w:t>$5.00</w:t>
            </w:r>
          </w:p>
        </w:tc>
      </w:tr>
    </w:tbl>
    <w:p>
      <w:r>
        <w:br w:type="page"/>
      </w:r>
    </w:p>
    <w:p>
      <w:pPr>
        <w:pStyle w:val="Heading1"/>
      </w:pPr>
      <w:r>
        <w:t>Resumen ejecutivo</w:t>
      </w:r>
    </w:p>
    <w:p>
      <w:r>
        <w:t>Durante el año 2025, los vendedores de la empresa mostraron una variación notable en el rendimiento de las ventas facturadas. Los datos revelan que el vendedor con el mayor total facturado lidera la lista con un monto significativamente superior a sus colegas, lo que indica una eficacia sobresaliente en la generación de ingresos. Por otro lado, los vendedores con menores volúmenes de facturación presentan oportunidades claras para capacitación y soporte adicional, lo que podría impulsar su productividad y, por ende, el rendimiento global del equipo.</w:t>
      </w:r>
    </w:p>
    <w:p>
      <w:pPr>
        <w:pStyle w:val="Heading1"/>
      </w:pPr>
      <w:r>
        <w:t>Visualización</w:t>
      </w:r>
    </w:p>
    <w:p>
      <w:r>
        <w:drawing>
          <wp:inline xmlns:a="http://schemas.openxmlformats.org/drawingml/2006/main" xmlns:pic="http://schemas.openxmlformats.org/drawingml/2006/picture">
            <wp:extent cx="5943600" cy="3155244"/>
            <wp:docPr id="2" name="Picture 2"/>
            <wp:cNvGraphicFramePr>
              <a:graphicFrameLocks noChangeAspect="1"/>
            </wp:cNvGraphicFramePr>
            <a:graphic>
              <a:graphicData uri="http://schemas.openxmlformats.org/drawingml/2006/picture">
                <pic:pic>
                  <pic:nvPicPr>
                    <pic:cNvPr id="0" name="R1_ventas_vendedor.png"/>
                    <pic:cNvPicPr/>
                  </pic:nvPicPr>
                  <pic:blipFill>
                    <a:blip r:embed="rId12"/>
                    <a:stretch>
                      <a:fillRect/>
                    </a:stretch>
                  </pic:blipFill>
                  <pic:spPr>
                    <a:xfrm>
                      <a:off x="0" y="0"/>
                      <a:ext cx="5943600" cy="3155244"/>
                    </a:xfrm>
                    <a:prstGeom prst="rect"/>
                  </pic:spPr>
                </pic:pic>
              </a:graphicData>
            </a:graphic>
          </wp:inline>
        </w:drawing>
      </w:r>
    </w:p>
    <w:p>
      <w:pPr>
        <w:pStyle w:val="Heading1"/>
      </w:pPr>
      <w:r>
        <w:t>Detalle</w:t>
      </w:r>
    </w:p>
    <w:tbl>
      <w:tblPr>
        <w:tblStyle w:val="LightShading-Accent1"/>
        <w:tblW w:type="auto" w:w="0"/>
        <w:tblLook w:firstColumn="1" w:firstRow="1" w:lastColumn="0" w:lastRow="0" w:noHBand="0" w:noVBand="1" w:val="04A0"/>
      </w:tblPr>
      <w:tblGrid>
        <w:gridCol w:w="4320"/>
        <w:gridCol w:w="4320"/>
      </w:tblGrid>
      <w:tr>
        <w:tc>
          <w:tcPr>
            <w:tcW w:type="dxa" w:w="4320"/>
          </w:tcPr>
          <w:p>
            <w:r>
              <w:t>Vendedor</w:t>
            </w:r>
          </w:p>
        </w:tc>
        <w:tc>
          <w:tcPr>
            <w:tcW w:type="dxa" w:w="4320"/>
          </w:tcPr>
          <w:p>
            <w:r>
              <w:t>Total facturado</w:t>
            </w:r>
          </w:p>
        </w:tc>
      </w:tr>
      <w:tr>
        <w:tc>
          <w:tcPr>
            <w:tcW w:type="dxa" w:w="4320"/>
          </w:tcPr>
          <w:p>
            <w:r>
              <w:t>Abril Etzalli Garrido</w:t>
            </w:r>
          </w:p>
        </w:tc>
        <w:tc>
          <w:tcPr>
            <w:tcW w:type="dxa" w:w="4320"/>
          </w:tcPr>
          <w:p>
            <w:r>
              <w:t>18,400,000.00</w:t>
            </w:r>
          </w:p>
        </w:tc>
      </w:tr>
      <w:tr>
        <w:tc>
          <w:tcPr>
            <w:tcW w:type="dxa" w:w="4320"/>
          </w:tcPr>
          <w:p>
            <w:r>
              <w:t>Adrian Ontiveros</w:t>
            </w:r>
          </w:p>
        </w:tc>
        <w:tc>
          <w:tcPr>
            <w:tcW w:type="dxa" w:w="4320"/>
          </w:tcPr>
          <w:p>
            <w:r>
              <w:t>15,200,000.00</w:t>
            </w:r>
          </w:p>
        </w:tc>
      </w:tr>
      <w:tr>
        <w:tc>
          <w:tcPr>
            <w:tcW w:type="dxa" w:w="4320"/>
          </w:tcPr>
          <w:p>
            <w:r>
              <w:t>Alberto Chindo</w:t>
            </w:r>
          </w:p>
        </w:tc>
        <w:tc>
          <w:tcPr>
            <w:tcW w:type="dxa" w:w="4320"/>
          </w:tcPr>
          <w:p>
            <w:r>
              <w:t>12,800,000.00</w:t>
            </w:r>
          </w:p>
        </w:tc>
      </w:tr>
      <w:tr>
        <w:tc>
          <w:tcPr>
            <w:tcW w:type="dxa" w:w="4320"/>
          </w:tcPr>
          <w:p>
            <w:r>
              <w:t>Alejandra Ramos</w:t>
            </w:r>
          </w:p>
        </w:tc>
        <w:tc>
          <w:tcPr>
            <w:tcW w:type="dxa" w:w="4320"/>
          </w:tcPr>
          <w:p>
            <w:r>
              <w:t>9,600,000.00</w:t>
            </w:r>
          </w:p>
        </w:tc>
      </w:tr>
      <w:tr>
        <w:tc>
          <w:tcPr>
            <w:tcW w:type="dxa" w:w="4320"/>
          </w:tcPr>
          <w:p>
            <w:r>
              <w:t>Omar Sanchez</w:t>
            </w:r>
          </w:p>
        </w:tc>
        <w:tc>
          <w:tcPr>
            <w:tcW w:type="dxa" w:w="4320"/>
          </w:tcPr>
          <w:p>
            <w:r>
              <w:t>7,100,000.00</w:t>
            </w:r>
          </w:p>
        </w:tc>
      </w:tr>
    </w:tbl>
    <w:sectPr w:rsidR="00FC693F" w:rsidRPr="0006063C" w:rsidSect="00034616">
      <w:headerReference w:type="default" r:id="rId9"/>
      <w:footerReference w:type="default" r:id="rId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Confidencial · INT Business One Copilot · Uso interno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Ventas 2025 por Vendedor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6B7280"/>
      <w:sz w:val="16"/>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color w:val="6B7280"/>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