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371600" cy="969764"/>
            <wp:docPr id="1" name="Picture 1"/>
            <wp:cNvGraphicFramePr>
              <a:graphicFrameLocks noChangeAspect="1"/>
            </wp:cNvGraphicFramePr>
            <a:graphic>
              <a:graphicData uri="http://schemas.openxmlformats.org/drawingml/2006/picture">
                <pic:pic>
                  <pic:nvPicPr>
                    <pic:cNvPr id="0" name="logo.png"/>
                    <pic:cNvPicPr/>
                  </pic:nvPicPr>
                  <pic:blipFill>
                    <a:blip r:embed="rId11"/>
                    <a:stretch>
                      <a:fillRect/>
                    </a:stretch>
                  </pic:blipFill>
                  <pic:spPr>
                    <a:xfrm>
                      <a:off x="0" y="0"/>
                      <a:ext cx="1371600" cy="969764"/>
                    </a:xfrm>
                    <a:prstGeom prst="rect"/>
                  </pic:spPr>
                </pic:pic>
              </a:graphicData>
            </a:graphic>
          </wp:inline>
        </w:drawing>
      </w:r>
    </w:p>
    <w:p>
      <w:pPr>
        <w:jc w:val="left"/>
      </w:pPr>
      <w:r>
        <w:rPr>
          <w:b/>
          <w:color w:val="1F4E79"/>
          <w:sz w:val="52"/>
        </w:rPr>
        <w:t>Top 10 Clientes 2025</w:t>
      </w:r>
    </w:p>
    <w:p>
      <w:r>
        <w:rPr>
          <w:color w:val="6B7280"/>
          <w:sz w:val="24"/>
        </w:rPr>
        <w:t>Modelo: deepseek-v4-pro (comercial) · INT_PROD_LAB · Datos de muestra</w:t>
      </w:r>
    </w:p>
    <w:tbl>
      <w:tblPr>
        <w:tblStyle w:val="TableGrid"/>
        <w:tblW w:type="auto" w:w="0"/>
        <w:tblLook w:firstColumn="1" w:firstRow="1" w:lastColumn="0" w:lastRow="0" w:noHBand="0" w:noVBand="1" w:val="04A0"/>
      </w:tblPr>
      <w:tblGrid>
        <w:gridCol w:w="4320"/>
        <w:gridCol w:w="4320"/>
      </w:tblGrid>
      <w:tr>
        <w:tc>
          <w:tcPr>
            <w:tcW w:type="dxa" w:w="4320"/>
          </w:tcPr>
          <w:p>
            <w:r>
              <w:t>Registros</w:t>
            </w:r>
          </w:p>
        </w:tc>
        <w:tc>
          <w:tcPr>
            <w:tcW w:type="dxa" w:w="4320"/>
          </w:tcPr>
          <w:p>
            <w:r>
              <w:t>$5.00</w:t>
            </w:r>
          </w:p>
        </w:tc>
      </w:tr>
    </w:tbl>
    <w:p>
      <w:r>
        <w:br w:type="page"/>
      </w:r>
    </w:p>
    <w:p>
      <w:pPr>
        <w:pStyle w:val="Heading1"/>
      </w:pPr>
      <w:r>
        <w:t>Resumen ejecutivo</w:t>
      </w:r>
    </w:p>
    <w:p>
      <w:r>
        <w:t>Se identificaron los 10 clientes con mayor facturación durante 2025 en términos de monto total neto de documentos de venta no cancelados. La consulta une las facturas de clientes (OINV) con los datos maestros de socios de negocio (OCRD) y agrega el monto total por cliente.</w:t>
      </w:r>
    </w:p>
    <w:p>
      <w:r>
        <w:t>El resultado permite focalizar la gestión comercial en la cartera de clientes que concentra el mayor volumen de facturación, excluyendo documentos anulados y asegurando que solo se consideren clientes activos.</w:t>
      </w:r>
    </w:p>
    <w:p>
      <w:pPr>
        <w:pStyle w:val="Heading1"/>
      </w:pPr>
      <w:r>
        <w:t>Visualización</w:t>
      </w:r>
    </w:p>
    <w:p>
      <w:r>
        <w:drawing>
          <wp:inline xmlns:a="http://schemas.openxmlformats.org/drawingml/2006/main" xmlns:pic="http://schemas.openxmlformats.org/drawingml/2006/picture">
            <wp:extent cx="5943600" cy="3155244"/>
            <wp:docPr id="2" name="Picture 2"/>
            <wp:cNvGraphicFramePr>
              <a:graphicFrameLocks noChangeAspect="1"/>
            </wp:cNvGraphicFramePr>
            <a:graphic>
              <a:graphicData uri="http://schemas.openxmlformats.org/drawingml/2006/picture">
                <pic:pic>
                  <pic:nvPicPr>
                    <pic:cNvPr id="0" name="R2_top_clientes.png"/>
                    <pic:cNvPicPr/>
                  </pic:nvPicPr>
                  <pic:blipFill>
                    <a:blip r:embed="rId12"/>
                    <a:stretch>
                      <a:fillRect/>
                    </a:stretch>
                  </pic:blipFill>
                  <pic:spPr>
                    <a:xfrm>
                      <a:off x="0" y="0"/>
                      <a:ext cx="5943600" cy="3155244"/>
                    </a:xfrm>
                    <a:prstGeom prst="rect"/>
                  </pic:spPr>
                </pic:pic>
              </a:graphicData>
            </a:graphic>
          </wp:inline>
        </w:drawing>
      </w:r>
    </w:p>
    <w:p>
      <w:pPr>
        <w:pStyle w:val="Heading1"/>
      </w:pPr>
      <w:r>
        <w:t>Detalle</w:t>
      </w:r>
    </w:p>
    <w:tbl>
      <w:tblPr>
        <w:tblStyle w:val="LightShading-Accent1"/>
        <w:tblW w:type="auto" w:w="0"/>
        <w:tblLook w:firstColumn="1" w:firstRow="1" w:lastColumn="0" w:lastRow="0" w:noHBand="0" w:noVBand="1" w:val="04A0"/>
      </w:tblPr>
      <w:tblGrid>
        <w:gridCol w:w="4320"/>
        <w:gridCol w:w="4320"/>
      </w:tblGrid>
      <w:tr>
        <w:tc>
          <w:tcPr>
            <w:tcW w:type="dxa" w:w="4320"/>
          </w:tcPr>
          <w:p>
            <w:r>
              <w:t>Cliente</w:t>
            </w:r>
          </w:p>
        </w:tc>
        <w:tc>
          <w:tcPr>
            <w:tcW w:type="dxa" w:w="4320"/>
          </w:tcPr>
          <w:p>
            <w:r>
              <w:t>Monto facturado</w:t>
            </w:r>
          </w:p>
        </w:tc>
      </w:tr>
      <w:tr>
        <w:tc>
          <w:tcPr>
            <w:tcW w:type="dxa" w:w="4320"/>
          </w:tcPr>
          <w:p>
            <w:r>
              <w:t>Grupo Constructor INT</w:t>
            </w:r>
          </w:p>
        </w:tc>
        <w:tc>
          <w:tcPr>
            <w:tcW w:type="dxa" w:w="4320"/>
          </w:tcPr>
          <w:p>
            <w:r>
              <w:t>42,100,000.00</w:t>
            </w:r>
          </w:p>
        </w:tc>
      </w:tr>
      <w:tr>
        <w:tc>
          <w:tcPr>
            <w:tcW w:type="dxa" w:w="4320"/>
          </w:tcPr>
          <w:p>
            <w:r>
              <w:t>Gobierno CDMX</w:t>
            </w:r>
          </w:p>
        </w:tc>
        <w:tc>
          <w:tcPr>
            <w:tcW w:type="dxa" w:w="4320"/>
          </w:tcPr>
          <w:p>
            <w:r>
              <w:t>31,800,000.00</w:t>
            </w:r>
          </w:p>
        </w:tc>
      </w:tr>
      <w:tr>
        <w:tc>
          <w:tcPr>
            <w:tcW w:type="dxa" w:w="4320"/>
          </w:tcPr>
          <w:p>
            <w:r>
              <w:t>IMSS Bienestar</w:t>
            </w:r>
          </w:p>
        </w:tc>
        <w:tc>
          <w:tcPr>
            <w:tcW w:type="dxa" w:w="4320"/>
          </w:tcPr>
          <w:p>
            <w:r>
              <w:t>26,400,000.00</w:t>
            </w:r>
          </w:p>
        </w:tc>
      </w:tr>
      <w:tr>
        <w:tc>
          <w:tcPr>
            <w:tcW w:type="dxa" w:w="4320"/>
          </w:tcPr>
          <w:p>
            <w:r>
              <w:t>Telecom Norte</w:t>
            </w:r>
          </w:p>
        </w:tc>
        <w:tc>
          <w:tcPr>
            <w:tcW w:type="dxa" w:w="4320"/>
          </w:tcPr>
          <w:p>
            <w:r>
              <w:t>18,700,000.00</w:t>
            </w:r>
          </w:p>
        </w:tc>
      </w:tr>
      <w:tr>
        <w:tc>
          <w:tcPr>
            <w:tcW w:type="dxa" w:w="4320"/>
          </w:tcPr>
          <w:p>
            <w:r>
              <w:t>Seguridad C4</w:t>
            </w:r>
          </w:p>
        </w:tc>
        <w:tc>
          <w:tcPr>
            <w:tcW w:type="dxa" w:w="4320"/>
          </w:tcPr>
          <w:p>
            <w:r>
              <w:t>13,200,000.00</w:t>
            </w:r>
          </w:p>
        </w:tc>
      </w:tr>
    </w:tbl>
    <w:sectPr w:rsidR="00FC693F" w:rsidRPr="0006063C" w:rsidSect="00034616">
      <w:headerReference w:type="default" r:id="rId9"/>
      <w:footerReference w:type="default" r:id="rId1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Confidencial · INT Business One Copilot · Uso interno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Top 10 Clientes 2025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rPr>
      <w:color w:val="6B7280"/>
      <w:sz w:val="16"/>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color w:val="6B7280"/>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