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371600" cy="969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69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color w:val="1F4E79"/>
          <w:sz w:val="52"/>
        </w:rPr>
        <w:t>Top 10 Clientes 2025</w:t>
      </w:r>
    </w:p>
    <w:p>
      <w:r>
        <w:rPr>
          <w:color w:val="6B7280"/>
          <w:sz w:val="24"/>
        </w:rPr>
        <w:t>Modelo: openrouter-auto (comercial) · INT_PROD_LAB · Datos de muestra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Registros</w:t>
            </w:r>
          </w:p>
        </w:tc>
        <w:tc>
          <w:tcPr>
            <w:tcW w:type="dxa" w:w="4320"/>
          </w:tcPr>
          <w:p>
            <w:r>
              <w:t>$5.00</w:t>
            </w:r>
          </w:p>
        </w:tc>
      </w:tr>
    </w:tbl>
    <w:p>
      <w:r>
        <w:br w:type="page"/>
      </w:r>
    </w:p>
    <w:p>
      <w:pPr>
        <w:pStyle w:val="Heading1"/>
      </w:pPr>
      <w:r>
        <w:t>Resumen ejecutivo</w:t>
      </w:r>
    </w:p>
    <w:p>
      <w:r>
        <w:t>Se calcula el ranking de los 10 clientes con mayor monto total facturado durante 2025 a partir de OINV, excluyendo facturas canceladas y vinculando OCRD para obtener el nombre del cliente. El monto se obtiene sumando DocTotal por CardCode y se ordena de mayor a menor.</w:t>
      </w:r>
    </w:p>
    <w:p>
      <w:r>
        <w:t>El resultado permite identificar la concentración de facturación en los principales clientes y se representa mediante un gráfico de barras con el nombre del cliente y el monto total facturado.</w:t>
      </w:r>
    </w:p>
    <w:p>
      <w:pPr>
        <w:pStyle w:val="Heading1"/>
      </w:pPr>
      <w:r>
        <w:t>Visualización</w:t>
      </w:r>
    </w:p>
    <w:p>
      <w:r>
        <w:drawing>
          <wp:inline xmlns:a="http://schemas.openxmlformats.org/drawingml/2006/main" xmlns:pic="http://schemas.openxmlformats.org/drawingml/2006/picture">
            <wp:extent cx="5943600" cy="315524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2_top_cliente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52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Detalle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Cliente</w:t>
            </w:r>
          </w:p>
        </w:tc>
        <w:tc>
          <w:tcPr>
            <w:tcW w:type="dxa" w:w="4320"/>
          </w:tcPr>
          <w:p>
            <w:r>
              <w:t>Monto facturado</w:t>
            </w:r>
          </w:p>
        </w:tc>
      </w:tr>
      <w:tr>
        <w:tc>
          <w:tcPr>
            <w:tcW w:type="dxa" w:w="4320"/>
          </w:tcPr>
          <w:p>
            <w:r>
              <w:t>Grupo Constructor INT</w:t>
            </w:r>
          </w:p>
        </w:tc>
        <w:tc>
          <w:tcPr>
            <w:tcW w:type="dxa" w:w="4320"/>
          </w:tcPr>
          <w:p>
            <w:r>
              <w:t>42,100,000.00</w:t>
            </w:r>
          </w:p>
        </w:tc>
      </w:tr>
      <w:tr>
        <w:tc>
          <w:tcPr>
            <w:tcW w:type="dxa" w:w="4320"/>
          </w:tcPr>
          <w:p>
            <w:r>
              <w:t>Gobierno CDMX</w:t>
            </w:r>
          </w:p>
        </w:tc>
        <w:tc>
          <w:tcPr>
            <w:tcW w:type="dxa" w:w="4320"/>
          </w:tcPr>
          <w:p>
            <w:r>
              <w:t>31,800,000.00</w:t>
            </w:r>
          </w:p>
        </w:tc>
      </w:tr>
      <w:tr>
        <w:tc>
          <w:tcPr>
            <w:tcW w:type="dxa" w:w="4320"/>
          </w:tcPr>
          <w:p>
            <w:r>
              <w:t>IMSS Bienestar</w:t>
            </w:r>
          </w:p>
        </w:tc>
        <w:tc>
          <w:tcPr>
            <w:tcW w:type="dxa" w:w="4320"/>
          </w:tcPr>
          <w:p>
            <w:r>
              <w:t>26,400,000.00</w:t>
            </w:r>
          </w:p>
        </w:tc>
      </w:tr>
      <w:tr>
        <w:tc>
          <w:tcPr>
            <w:tcW w:type="dxa" w:w="4320"/>
          </w:tcPr>
          <w:p>
            <w:r>
              <w:t>Telecom Norte</w:t>
            </w:r>
          </w:p>
        </w:tc>
        <w:tc>
          <w:tcPr>
            <w:tcW w:type="dxa" w:w="4320"/>
          </w:tcPr>
          <w:p>
            <w:r>
              <w:t>18,700,000.00</w:t>
            </w:r>
          </w:p>
        </w:tc>
      </w:tr>
      <w:tr>
        <w:tc>
          <w:tcPr>
            <w:tcW w:type="dxa" w:w="4320"/>
          </w:tcPr>
          <w:p>
            <w:r>
              <w:t>Seguridad C4</w:t>
            </w:r>
          </w:p>
        </w:tc>
        <w:tc>
          <w:tcPr>
            <w:tcW w:type="dxa" w:w="4320"/>
          </w:tcPr>
          <w:p>
            <w:r>
              <w:t>13,200,000.00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Confidencial · INT Business One Copilot · Uso interno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Top 10 Clientes 2025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