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Top 10 Clientes 2025</w:t>
      </w:r>
    </w:p>
    <w:p>
      <w:r>
        <w:rPr>
          <w:color w:val="6B7280"/>
          <w:sz w:val="24"/>
        </w:rPr>
        <w:t>Modelo: gpt-oss-20b (local)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Los resultados muestran los diez clientes que generaron el mayor volumen de facturación en el año 2025, basándose en el monto total de sus facturas emitidas y aprobadas. El análisis excluye facturas canceladas y se centra únicamente en facturas con estado "C" (cerradas) para garantizar la precisión de los ingresos consolidados.</w:t>
        <w:br/>
        <w:t>El gráfico de barras resultante destaca visualmente la diferencia de ventas entre los clientes principales, lo que permite a los responsables de negocio identificar rápidamente a los clientes más valiosos y evaluar la distribución del ingreso a lo largo de la cartera.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2_top_client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Monto facturado</w:t>
            </w:r>
          </w:p>
        </w:tc>
      </w:tr>
      <w:tr>
        <w:tc>
          <w:tcPr>
            <w:tcW w:type="dxa" w:w="4320"/>
          </w:tcPr>
          <w:p>
            <w:r>
              <w:t>Grupo Constructor INT</w:t>
            </w:r>
          </w:p>
        </w:tc>
        <w:tc>
          <w:tcPr>
            <w:tcW w:type="dxa" w:w="4320"/>
          </w:tcPr>
          <w:p>
            <w:r>
              <w:t>42,100,000.00</w:t>
            </w:r>
          </w:p>
        </w:tc>
      </w:tr>
      <w:tr>
        <w:tc>
          <w:tcPr>
            <w:tcW w:type="dxa" w:w="4320"/>
          </w:tcPr>
          <w:p>
            <w:r>
              <w:t>Gobierno CDMX</w:t>
            </w:r>
          </w:p>
        </w:tc>
        <w:tc>
          <w:tcPr>
            <w:tcW w:type="dxa" w:w="4320"/>
          </w:tcPr>
          <w:p>
            <w:r>
              <w:t>31,800,000.00</w:t>
            </w:r>
          </w:p>
        </w:tc>
      </w:tr>
      <w:tr>
        <w:tc>
          <w:tcPr>
            <w:tcW w:type="dxa" w:w="4320"/>
          </w:tcPr>
          <w:p>
            <w:r>
              <w:t>IMSS Bienestar</w:t>
            </w:r>
          </w:p>
        </w:tc>
        <w:tc>
          <w:tcPr>
            <w:tcW w:type="dxa" w:w="4320"/>
          </w:tcPr>
          <w:p>
            <w:r>
              <w:t>26,400,000.00</w:t>
            </w:r>
          </w:p>
        </w:tc>
      </w:tr>
      <w:tr>
        <w:tc>
          <w:tcPr>
            <w:tcW w:type="dxa" w:w="4320"/>
          </w:tcPr>
          <w:p>
            <w:r>
              <w:t>Telecom Norte</w:t>
            </w:r>
          </w:p>
        </w:tc>
        <w:tc>
          <w:tcPr>
            <w:tcW w:type="dxa" w:w="4320"/>
          </w:tcPr>
          <w:p>
            <w:r>
              <w:t>18,700,000.00</w:t>
            </w:r>
          </w:p>
        </w:tc>
      </w:tr>
      <w:tr>
        <w:tc>
          <w:tcPr>
            <w:tcW w:type="dxa" w:w="4320"/>
          </w:tcPr>
          <w:p>
            <w:r>
              <w:t>Seguridad C4</w:t>
            </w:r>
          </w:p>
        </w:tc>
        <w:tc>
          <w:tcPr>
            <w:tcW w:type="dxa" w:w="4320"/>
          </w:tcPr>
          <w:p>
            <w:r>
              <w:t>13,200,000.00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Top 10 Clientes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