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Top 10 Clientes 2025</w:t>
      </w:r>
    </w:p>
    <w:p>
      <w:r>
        <w:rPr>
          <w:color w:val="6B7280"/>
          <w:sz w:val="24"/>
        </w:rPr>
        <w:t>Modelo: qwen3-coder-30b (local) · INT_PROD_LAB · Datos de muestra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$5.00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La consulta permite identificar a los 10 clientes que más facturaron durante el año 2025, utilizando las tablas OINV y OCRD. Se une la información de los documentos facturados (OINV) con los datos de los clientes (OTRD) mediante el código de cliente (CardCode). Se filtra por el año 2025 y se agrupa por nombre de cliente para calcular el monto total facturado. Finalmente, se ordena de forma descendente según el total facturado y se limitan los resultados a los 10 primeros registros.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2_top_cliente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Cliente</w:t>
            </w:r>
          </w:p>
        </w:tc>
        <w:tc>
          <w:tcPr>
            <w:tcW w:type="dxa" w:w="4320"/>
          </w:tcPr>
          <w:p>
            <w:r>
              <w:t>Monto facturado</w:t>
            </w:r>
          </w:p>
        </w:tc>
      </w:tr>
      <w:tr>
        <w:tc>
          <w:tcPr>
            <w:tcW w:type="dxa" w:w="4320"/>
          </w:tcPr>
          <w:p>
            <w:r>
              <w:t>Grupo Constructor INT</w:t>
            </w:r>
          </w:p>
        </w:tc>
        <w:tc>
          <w:tcPr>
            <w:tcW w:type="dxa" w:w="4320"/>
          </w:tcPr>
          <w:p>
            <w:r>
              <w:t>42,100,000.00</w:t>
            </w:r>
          </w:p>
        </w:tc>
      </w:tr>
      <w:tr>
        <w:tc>
          <w:tcPr>
            <w:tcW w:type="dxa" w:w="4320"/>
          </w:tcPr>
          <w:p>
            <w:r>
              <w:t>Gobierno CDMX</w:t>
            </w:r>
          </w:p>
        </w:tc>
        <w:tc>
          <w:tcPr>
            <w:tcW w:type="dxa" w:w="4320"/>
          </w:tcPr>
          <w:p>
            <w:r>
              <w:t>31,800,000.00</w:t>
            </w:r>
          </w:p>
        </w:tc>
      </w:tr>
      <w:tr>
        <w:tc>
          <w:tcPr>
            <w:tcW w:type="dxa" w:w="4320"/>
          </w:tcPr>
          <w:p>
            <w:r>
              <w:t>IMSS Bienestar</w:t>
            </w:r>
          </w:p>
        </w:tc>
        <w:tc>
          <w:tcPr>
            <w:tcW w:type="dxa" w:w="4320"/>
          </w:tcPr>
          <w:p>
            <w:r>
              <w:t>26,400,000.00</w:t>
            </w:r>
          </w:p>
        </w:tc>
      </w:tr>
      <w:tr>
        <w:tc>
          <w:tcPr>
            <w:tcW w:type="dxa" w:w="4320"/>
          </w:tcPr>
          <w:p>
            <w:r>
              <w:t>Telecom Norte</w:t>
            </w:r>
          </w:p>
        </w:tc>
        <w:tc>
          <w:tcPr>
            <w:tcW w:type="dxa" w:w="4320"/>
          </w:tcPr>
          <w:p>
            <w:r>
              <w:t>18,700,000.00</w:t>
            </w:r>
          </w:p>
        </w:tc>
      </w:tr>
      <w:tr>
        <w:tc>
          <w:tcPr>
            <w:tcW w:type="dxa" w:w="4320"/>
          </w:tcPr>
          <w:p>
            <w:r>
              <w:t>Seguridad C4</w:t>
            </w:r>
          </w:p>
        </w:tc>
        <w:tc>
          <w:tcPr>
            <w:tcW w:type="dxa" w:w="4320"/>
          </w:tcPr>
          <w:p>
            <w:r>
              <w:t>13,200,000.00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Top 10 Clientes 2025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