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371600" cy="9697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9697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left"/>
      </w:pPr>
      <w:r>
        <w:rPr>
          <w:b/>
          <w:color w:val="1F4E79"/>
          <w:sz w:val="52"/>
        </w:rPr>
        <w:t>Antiguedad de Cuentas por Cobrar</w:t>
      </w:r>
    </w:p>
    <w:p>
      <w:r>
        <w:rPr>
          <w:color w:val="6B7280"/>
          <w:sz w:val="24"/>
        </w:rPr>
        <w:t>Modelo: openrouter-auto (comercial) · INT_PROD_LAB · Datos de muestra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Registros</w:t>
            </w:r>
          </w:p>
        </w:tc>
        <w:tc>
          <w:tcPr>
            <w:tcW w:type="dxa" w:w="4320"/>
          </w:tcPr>
          <w:p>
            <w:r>
              <w:t>$4.00</w:t>
            </w:r>
          </w:p>
        </w:tc>
      </w:tr>
    </w:tbl>
    <w:p>
      <w:r>
        <w:br w:type="page"/>
      </w:r>
    </w:p>
    <w:p>
      <w:pPr>
        <w:pStyle w:val="Heading1"/>
      </w:pPr>
      <w:r>
        <w:t>Resumen ejecutivo</w:t>
      </w:r>
    </w:p>
    <w:p>
      <w:r>
        <w:t>El SQL calcula la antigüedad de saldos pendientes por cliente usando OINV y OCRD. Considera únicamente facturas no canceladas, abiertas y con saldo pendiente mayor a cero, calculado como DocTotal menos PaidToDate. La antigüedad se determina por la fecha de vencimiento, usando la fecha de documento si DocDueDate es nula, y se clasifica en 0-30, 31-60, 61-90 y más de 90 días respecto a la fecha actual.</w:t>
      </w:r>
    </w:p>
    <w:p>
      <w:r>
        <w:t>El resultado se agrupa por CardCode y CardName, mostrando el saldo pendiente en cada bucket y el total por cliente. Es una consulta de solo lectura orientada a análisis ejecutivo de cobranza y exposición de cartera.</w:t>
      </w:r>
    </w:p>
    <w:p>
      <w:pPr>
        <w:pStyle w:val="Heading1"/>
      </w:pPr>
      <w:r>
        <w:t>Visualización</w:t>
      </w:r>
    </w:p>
    <w:p>
      <w:r>
        <w:drawing>
          <wp:inline xmlns:a="http://schemas.openxmlformats.org/drawingml/2006/main" xmlns:pic="http://schemas.openxmlformats.org/drawingml/2006/picture">
            <wp:extent cx="5943600" cy="315524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3_aging_cxc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52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Detalle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Bucket</w:t>
            </w:r>
          </w:p>
        </w:tc>
        <w:tc>
          <w:tcPr>
            <w:tcW w:type="dxa" w:w="4320"/>
          </w:tcPr>
          <w:p>
            <w:r>
              <w:t>Saldo pendiente</w:t>
            </w:r>
          </w:p>
        </w:tc>
      </w:tr>
      <w:tr>
        <w:tc>
          <w:tcPr>
            <w:tcW w:type="dxa" w:w="4320"/>
          </w:tcPr>
          <w:p>
            <w:r>
              <w:t>0-30 dias</w:t>
            </w:r>
          </w:p>
        </w:tc>
        <w:tc>
          <w:tcPr>
            <w:tcW w:type="dxa" w:w="4320"/>
          </w:tcPr>
          <w:p>
            <w:r>
              <w:t>9,200,000.00</w:t>
            </w:r>
          </w:p>
        </w:tc>
      </w:tr>
      <w:tr>
        <w:tc>
          <w:tcPr>
            <w:tcW w:type="dxa" w:w="4320"/>
          </w:tcPr>
          <w:p>
            <w:r>
              <w:t>31-60 dias</w:t>
            </w:r>
          </w:p>
        </w:tc>
        <w:tc>
          <w:tcPr>
            <w:tcW w:type="dxa" w:w="4320"/>
          </w:tcPr>
          <w:p>
            <w:r>
              <w:t>5,400,000.00</w:t>
            </w:r>
          </w:p>
        </w:tc>
      </w:tr>
      <w:tr>
        <w:tc>
          <w:tcPr>
            <w:tcW w:type="dxa" w:w="4320"/>
          </w:tcPr>
          <w:p>
            <w:r>
              <w:t>61-90 dias</w:t>
            </w:r>
          </w:p>
        </w:tc>
        <w:tc>
          <w:tcPr>
            <w:tcW w:type="dxa" w:w="4320"/>
          </w:tcPr>
          <w:p>
            <w:r>
              <w:t>3,100,000.00</w:t>
            </w:r>
          </w:p>
        </w:tc>
      </w:tr>
      <w:tr>
        <w:tc>
          <w:tcPr>
            <w:tcW w:type="dxa" w:w="4320"/>
          </w:tcPr>
          <w:p>
            <w:r>
              <w:t>Mas de 90 dias</w:t>
            </w:r>
          </w:p>
        </w:tc>
        <w:tc>
          <w:tcPr>
            <w:tcW w:type="dxa" w:w="4320"/>
          </w:tcPr>
          <w:p>
            <w:r>
              <w:t>4,800,000.00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Confidencial · INT Business One Copilot · Uso interno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Antiguedad de Cuentas por Cobrar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color w:val="6B728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