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Antiguedad de Cuentas por Cobrar</w:t>
      </w:r>
    </w:p>
    <w:p>
      <w:r>
        <w:rPr>
          <w:color w:val="6B7280"/>
          <w:sz w:val="24"/>
        </w:rPr>
        <w:t>Modelo: qwen3-coder-30b (local) · INT_PROD_LAB · Datos de muestra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$4.00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El análisis presenta la distribución de las facturas con saldo pendiente según su antigüedad en buckets de 30 días. Se filtran solo las facturas no canceladas y en estado abierto, considerando únicamente aquellas con un saldo residual mayor a cero. Este reporte permite identificar patrones de morosidad y priorizar acciones de cobranza según el periodo vencido. La agrupación por buckets facilita la toma de decisiones estratégicas en gestión de cartera.</w:t>
      </w:r>
    </w:p>
    <w:p>
      <w:r>
        <w:t>El resultado muestra cuántas facturas se encuentran en cada categoría de antigüedad, junto con el saldo total pendiente por grupo. Esta información es clave para evaluar el riesgo crediticio y optimizar los procesos de seguimiento de cuentas por cobrar.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0427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3_aging_cx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27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Bucket</w:t>
            </w:r>
          </w:p>
        </w:tc>
        <w:tc>
          <w:tcPr>
            <w:tcW w:type="dxa" w:w="4320"/>
          </w:tcPr>
          <w:p>
            <w:r>
              <w:t>Saldo pendiente</w:t>
            </w:r>
          </w:p>
        </w:tc>
      </w:tr>
      <w:tr>
        <w:tc>
          <w:tcPr>
            <w:tcW w:type="dxa" w:w="4320"/>
          </w:tcPr>
          <w:p>
            <w:r>
              <w:t>0-30 dias</w:t>
            </w:r>
          </w:p>
        </w:tc>
        <w:tc>
          <w:tcPr>
            <w:tcW w:type="dxa" w:w="4320"/>
          </w:tcPr>
          <w:p>
            <w:r>
              <w:t>9,200,000.00</w:t>
            </w:r>
          </w:p>
        </w:tc>
      </w:tr>
      <w:tr>
        <w:tc>
          <w:tcPr>
            <w:tcW w:type="dxa" w:w="4320"/>
          </w:tcPr>
          <w:p>
            <w:r>
              <w:t>31-60 dias</w:t>
            </w:r>
          </w:p>
        </w:tc>
        <w:tc>
          <w:tcPr>
            <w:tcW w:type="dxa" w:w="4320"/>
          </w:tcPr>
          <w:p>
            <w:r>
              <w:t>5,400,000.00</w:t>
            </w:r>
          </w:p>
        </w:tc>
      </w:tr>
      <w:tr>
        <w:tc>
          <w:tcPr>
            <w:tcW w:type="dxa" w:w="4320"/>
          </w:tcPr>
          <w:p>
            <w:r>
              <w:t>61-90 dias</w:t>
            </w:r>
          </w:p>
        </w:tc>
        <w:tc>
          <w:tcPr>
            <w:tcW w:type="dxa" w:w="4320"/>
          </w:tcPr>
          <w:p>
            <w:r>
              <w:t>3,100,000.00</w:t>
            </w:r>
          </w:p>
        </w:tc>
      </w:tr>
      <w:tr>
        <w:tc>
          <w:tcPr>
            <w:tcW w:type="dxa" w:w="4320"/>
          </w:tcPr>
          <w:p>
            <w:r>
              <w:t>Mas de 90 dias</w:t>
            </w:r>
          </w:p>
        </w:tc>
        <w:tc>
          <w:tcPr>
            <w:tcW w:type="dxa" w:w="4320"/>
          </w:tcPr>
          <w:p>
            <w:r>
              <w:t>4,800,000.00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Antiguedad de Cuentas por Cobrar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