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969764"/>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1371600" cy="969764"/>
                    </a:xfrm>
                    <a:prstGeom prst="rect"/>
                  </pic:spPr>
                </pic:pic>
              </a:graphicData>
            </a:graphic>
          </wp:inline>
        </w:drawing>
      </w:r>
    </w:p>
    <w:p>
      <w:pPr>
        <w:jc w:val="left"/>
      </w:pPr>
      <w:r>
        <w:rPr>
          <w:b/>
          <w:color w:val="1F4E79"/>
          <w:sz w:val="52"/>
        </w:rPr>
        <w:t>Stock bajo Punto de Reorden</w:t>
      </w:r>
    </w:p>
    <w:p>
      <w:r>
        <w:rPr>
          <w:color w:val="6B7280"/>
          <w:sz w:val="24"/>
        </w:rPr>
        <w:t>Modelo: deepseek-v4-pro (comercial) · INT_PROD_LAB · Datos de muestra</w:t>
      </w:r>
    </w:p>
    <w:tbl>
      <w:tblPr>
        <w:tblStyle w:val="TableGrid"/>
        <w:tblW w:type="auto" w:w="0"/>
        <w:tblLook w:firstColumn="1" w:firstRow="1" w:lastColumn="0" w:lastRow="0" w:noHBand="0" w:noVBand="1" w:val="04A0"/>
      </w:tblPr>
      <w:tblGrid>
        <w:gridCol w:w="4320"/>
        <w:gridCol w:w="4320"/>
      </w:tblGrid>
      <w:tr>
        <w:tc>
          <w:tcPr>
            <w:tcW w:type="dxa" w:w="4320"/>
          </w:tcPr>
          <w:p>
            <w:r>
              <w:t>Registros</w:t>
            </w:r>
          </w:p>
        </w:tc>
        <w:tc>
          <w:tcPr>
            <w:tcW w:type="dxa" w:w="4320"/>
          </w:tcPr>
          <w:p>
            <w:r>
              <w:t>$5.00</w:t>
            </w:r>
          </w:p>
        </w:tc>
      </w:tr>
    </w:tbl>
    <w:p>
      <w:r>
        <w:br w:type="page"/>
      </w:r>
    </w:p>
    <w:p>
      <w:pPr>
        <w:pStyle w:val="Heading1"/>
      </w:pPr>
      <w:r>
        <w:t>Resumen ejecutivo</w:t>
      </w:r>
    </w:p>
    <w:p>
      <w:r>
        <w:t>La consulta identifica los artículos de inventario cuyo stock total actual, calculado como la suma de OITW.OnHand en todos los almacenes, está por debajo del nivel mínimo configurado en OITM.MinLevel. Se utiliza LEFT JOIN para no excluir artículos sin existencias registradas y COALESCE para tratar valores nulos como cero.</w:t>
      </w:r>
    </w:p>
    <w:p>
      <w:r>
        <w:t>El resultado muestra código, nombre, stock actual y stock mínimo, permitiendo priorizar el reabastecimiento. La salida se ordena por código de artículo para facilitar la revisión.</w:t>
      </w:r>
    </w:p>
    <w:p>
      <w:pPr>
        <w:pStyle w:val="Heading1"/>
      </w:pPr>
      <w:r>
        <w:t>Visualización</w:t>
      </w:r>
    </w:p>
    <w:p>
      <w:r>
        <w:drawing>
          <wp:inline xmlns:a="http://schemas.openxmlformats.org/drawingml/2006/main" xmlns:pic="http://schemas.openxmlformats.org/drawingml/2006/picture">
            <wp:extent cx="5943600" cy="3155244"/>
            <wp:docPr id="2" name="Picture 2"/>
            <wp:cNvGraphicFramePr>
              <a:graphicFrameLocks noChangeAspect="1"/>
            </wp:cNvGraphicFramePr>
            <a:graphic>
              <a:graphicData uri="http://schemas.openxmlformats.org/drawingml/2006/picture">
                <pic:pic>
                  <pic:nvPicPr>
                    <pic:cNvPr id="0" name="R4_stock_reorden.png"/>
                    <pic:cNvPicPr/>
                  </pic:nvPicPr>
                  <pic:blipFill>
                    <a:blip r:embed="rId12"/>
                    <a:stretch>
                      <a:fillRect/>
                    </a:stretch>
                  </pic:blipFill>
                  <pic:spPr>
                    <a:xfrm>
                      <a:off x="0" y="0"/>
                      <a:ext cx="5943600" cy="3155244"/>
                    </a:xfrm>
                    <a:prstGeom prst="rect"/>
                  </pic:spPr>
                </pic:pic>
              </a:graphicData>
            </a:graphic>
          </wp:inline>
        </w:drawing>
      </w:r>
    </w:p>
    <w:p>
      <w:pPr>
        <w:pStyle w:val="Heading1"/>
      </w:pPr>
      <w:r>
        <w:t>Detalle</w:t>
      </w:r>
    </w:p>
    <w:tbl>
      <w:tblPr>
        <w:tblStyle w:val="LightShading-Accent1"/>
        <w:tblW w:type="auto" w:w="0"/>
        <w:tblLook w:firstColumn="1" w:firstRow="1" w:lastColumn="0" w:lastRow="0" w:noHBand="0" w:noVBand="1" w:val="04A0"/>
      </w:tblPr>
      <w:tblGrid>
        <w:gridCol w:w="2880"/>
        <w:gridCol w:w="2880"/>
        <w:gridCol w:w="2880"/>
      </w:tblGrid>
      <w:tr>
        <w:tc>
          <w:tcPr>
            <w:tcW w:type="dxa" w:w="2880"/>
          </w:tcPr>
          <w:p>
            <w:r>
              <w:t>Articulo</w:t>
            </w:r>
          </w:p>
        </w:tc>
        <w:tc>
          <w:tcPr>
            <w:tcW w:type="dxa" w:w="2880"/>
          </w:tcPr>
          <w:p>
            <w:r>
              <w:t>Stock</w:t>
            </w:r>
          </w:p>
        </w:tc>
        <w:tc>
          <w:tcPr>
            <w:tcW w:type="dxa" w:w="2880"/>
          </w:tcPr>
          <w:p>
            <w:r>
              <w:t>Minimo</w:t>
            </w:r>
          </w:p>
        </w:tc>
      </w:tr>
      <w:tr>
        <w:tc>
          <w:tcPr>
            <w:tcW w:type="dxa" w:w="2880"/>
          </w:tcPr>
          <w:p>
            <w:r>
              <w:t>ART-101</w:t>
            </w:r>
          </w:p>
        </w:tc>
        <w:tc>
          <w:tcPr>
            <w:tcW w:type="dxa" w:w="2880"/>
          </w:tcPr>
          <w:p>
            <w:r>
              <w:t>12</w:t>
            </w:r>
          </w:p>
        </w:tc>
        <w:tc>
          <w:tcPr>
            <w:tcW w:type="dxa" w:w="2880"/>
          </w:tcPr>
          <w:p>
            <w:r>
              <w:t>20</w:t>
            </w:r>
          </w:p>
        </w:tc>
      </w:tr>
      <w:tr>
        <w:tc>
          <w:tcPr>
            <w:tcW w:type="dxa" w:w="2880"/>
          </w:tcPr>
          <w:p>
            <w:r>
              <w:t>ART-102</w:t>
            </w:r>
          </w:p>
        </w:tc>
        <w:tc>
          <w:tcPr>
            <w:tcW w:type="dxa" w:w="2880"/>
          </w:tcPr>
          <w:p>
            <w:r>
              <w:t>8</w:t>
            </w:r>
          </w:p>
        </w:tc>
        <w:tc>
          <w:tcPr>
            <w:tcW w:type="dxa" w:w="2880"/>
          </w:tcPr>
          <w:p>
            <w:r>
              <w:t>15</w:t>
            </w:r>
          </w:p>
        </w:tc>
      </w:tr>
      <w:tr>
        <w:tc>
          <w:tcPr>
            <w:tcW w:type="dxa" w:w="2880"/>
          </w:tcPr>
          <w:p>
            <w:r>
              <w:t>ART-103</w:t>
            </w:r>
          </w:p>
        </w:tc>
        <w:tc>
          <w:tcPr>
            <w:tcW w:type="dxa" w:w="2880"/>
          </w:tcPr>
          <w:p>
            <w:r>
              <w:t>5</w:t>
            </w:r>
          </w:p>
        </w:tc>
        <w:tc>
          <w:tcPr>
            <w:tcW w:type="dxa" w:w="2880"/>
          </w:tcPr>
          <w:p>
            <w:r>
              <w:t>10</w:t>
            </w:r>
          </w:p>
        </w:tc>
      </w:tr>
      <w:tr>
        <w:tc>
          <w:tcPr>
            <w:tcW w:type="dxa" w:w="2880"/>
          </w:tcPr>
          <w:p>
            <w:r>
              <w:t>ART-104</w:t>
            </w:r>
          </w:p>
        </w:tc>
        <w:tc>
          <w:tcPr>
            <w:tcW w:type="dxa" w:w="2880"/>
          </w:tcPr>
          <w:p>
            <w:r>
              <w:t>18</w:t>
            </w:r>
          </w:p>
        </w:tc>
        <w:tc>
          <w:tcPr>
            <w:tcW w:type="dxa" w:w="2880"/>
          </w:tcPr>
          <w:p>
            <w:r>
              <w:t>25</w:t>
            </w:r>
          </w:p>
        </w:tc>
      </w:tr>
      <w:tr>
        <w:tc>
          <w:tcPr>
            <w:tcW w:type="dxa" w:w="2880"/>
          </w:tcPr>
          <w:p>
            <w:r>
              <w:t>ART-105</w:t>
            </w:r>
          </w:p>
        </w:tc>
        <w:tc>
          <w:tcPr>
            <w:tcW w:type="dxa" w:w="2880"/>
          </w:tcPr>
          <w:p>
            <w:r>
              <w:t>3</w:t>
            </w:r>
          </w:p>
        </w:tc>
        <w:tc>
          <w:tcPr>
            <w:tcW w:type="dxa" w:w="2880"/>
          </w:tcPr>
          <w:p>
            <w:r>
              <w:t>12</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Confidencial · INT Business One Copilot · Uso interno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Stock bajo Punto de Reorden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6B728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6B728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