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Margen Bruto por Linea 2025</w:t>
      </w:r>
    </w:p>
    <w:p>
      <w:r>
        <w:rPr>
          <w:color w:val="6B7280"/>
          <w:sz w:val="24"/>
        </w:rPr>
        <w:t>Modelo: deepseek-v4-pro (comercial)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obtiene cada línea de factura de clientes del año 2025, uniendo INV1 con OINV para fecha y cliente, y con OITM para los datos maestros del artículo. El importe de venta se toma de LineTotal; el costo se estima como Quantity multiplicado por GrossBuyPr de la línea. El margen bruto es la diferencia entre ambos y el porcentaje se calcula sobre la venta cuando ésta es distinta de cero.</w:t>
      </w:r>
    </w:p>
    <w:p>
      <w:r>
        <w:t>Se excluyen documentos cancelados y se ordena por número de documento y línea para facilitar la conciliación. Los resultados se expresan en la moneda del documento; si se requiere comparabilidad multi-moneda, se debería incorporar DocCur y DocRate de OINV.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5_margen_line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Linea</w:t>
            </w:r>
          </w:p>
        </w:tc>
        <w:tc>
          <w:tcPr>
            <w:tcW w:type="dxa" w:w="4320"/>
          </w:tcPr>
          <w:p>
            <w:r>
              <w:t>Margen %</w:t>
            </w:r>
          </w:p>
        </w:tc>
      </w:tr>
      <w:tr>
        <w:tc>
          <w:tcPr>
            <w:tcW w:type="dxa" w:w="4320"/>
          </w:tcPr>
          <w:p>
            <w:r>
              <w:t>Laptops</w:t>
            </w:r>
          </w:p>
        </w:tc>
        <w:tc>
          <w:tcPr>
            <w:tcW w:type="dxa" w:w="4320"/>
          </w:tcPr>
          <w:p>
            <w:r>
              <w:t>42.0%</w:t>
            </w:r>
          </w:p>
        </w:tc>
      </w:tr>
      <w:tr>
        <w:tc>
          <w:tcPr>
            <w:tcW w:type="dxa" w:w="4320"/>
          </w:tcPr>
          <w:p>
            <w:r>
              <w:t>Switches</w:t>
            </w:r>
          </w:p>
        </w:tc>
        <w:tc>
          <w:tcPr>
            <w:tcW w:type="dxa" w:w="4320"/>
          </w:tcPr>
          <w:p>
            <w:r>
              <w:t>38.0%</w:t>
            </w:r>
          </w:p>
        </w:tc>
      </w:tr>
      <w:tr>
        <w:tc>
          <w:tcPr>
            <w:tcW w:type="dxa" w:w="4320"/>
          </w:tcPr>
          <w:p>
            <w:r>
              <w:t>UPS</w:t>
            </w:r>
          </w:p>
        </w:tc>
        <w:tc>
          <w:tcPr>
            <w:tcW w:type="dxa" w:w="4320"/>
          </w:tcPr>
          <w:p>
            <w:r>
              <w:t>35.0%</w:t>
            </w:r>
          </w:p>
        </w:tc>
      </w:tr>
      <w:tr>
        <w:tc>
          <w:tcPr>
            <w:tcW w:type="dxa" w:w="4320"/>
          </w:tcPr>
          <w:p>
            <w:r>
              <w:t>Camaras</w:t>
            </w:r>
          </w:p>
        </w:tc>
        <w:tc>
          <w:tcPr>
            <w:tcW w:type="dxa" w:w="4320"/>
          </w:tcPr>
          <w:p>
            <w:r>
              <w:t>29.0%</w:t>
            </w:r>
          </w:p>
        </w:tc>
      </w:tr>
      <w:tr>
        <w:tc>
          <w:tcPr>
            <w:tcW w:type="dxa" w:w="4320"/>
          </w:tcPr>
          <w:p>
            <w:r>
              <w:t>Servidores</w:t>
            </w:r>
          </w:p>
        </w:tc>
        <w:tc>
          <w:tcPr>
            <w:tcW w:type="dxa" w:w="4320"/>
          </w:tcPr>
          <w:p>
            <w:r>
              <w:t>24.0%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Margen Bruto por Linea 2025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