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371600" cy="96976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697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b/>
          <w:color w:val="1F4E79"/>
          <w:sz w:val="52"/>
        </w:rPr>
        <w:t>Margen Bruto por Linea 2025</w:t>
      </w:r>
    </w:p>
    <w:p>
      <w:r>
        <w:rPr>
          <w:color w:val="6B7280"/>
          <w:sz w:val="24"/>
        </w:rPr>
        <w:t>Modelo: openrouter-auto (comercial) · INT_PROD_LAB · Datos de muestra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Registros</w:t>
            </w:r>
          </w:p>
        </w:tc>
        <w:tc>
          <w:tcPr>
            <w:tcW w:type="dxa" w:w="4320"/>
          </w:tcPr>
          <w:p>
            <w:r>
              <w:t>$5.00</w:t>
            </w:r>
          </w:p>
        </w:tc>
      </w:tr>
    </w:tbl>
    <w:p>
      <w:r>
        <w:br w:type="page"/>
      </w:r>
    </w:p>
    <w:p>
      <w:pPr>
        <w:pStyle w:val="Heading1"/>
      </w:pPr>
      <w:r>
        <w:t>Resumen ejecutivo</w:t>
      </w:r>
    </w:p>
    <w:p>
      <w:r>
        <w:t>El reporte devuelve el margen bruto por línea de factura de cliente contabilizada entre el 1 de enero y el 31 de diciembre de 2025. Calcula la venta con INV1.LineTotal y el costo con INV1.GrossBuyPr multiplicado por la cantidad; muestra también el porcentaje de margen sobre la venta neta.</w:t>
      </w:r>
    </w:p>
    <w:p>
      <w:r>
        <w:t>OINV.CANCELED = 'N' excluye documentos cancelados y DocType = 'I' limita el resultado a facturas de artículos. OITM aporta el nombre del artículo cuando está disponible. Si GrossBuyPr no está informado, costo, margen y porcentaje quedan nulos; el porcentaje también queda nulo cuando la venta es cero. Los importes corresponden a los valores almacenados en moneda local.</w:t>
      </w:r>
    </w:p>
    <w:p>
      <w:pPr>
        <w:pStyle w:val="Heading1"/>
      </w:pPr>
      <w:r>
        <w:t>Visualización</w:t>
      </w:r>
    </w:p>
    <w:p>
      <w:r>
        <w:drawing>
          <wp:inline xmlns:a="http://schemas.openxmlformats.org/drawingml/2006/main" xmlns:pic="http://schemas.openxmlformats.org/drawingml/2006/picture">
            <wp:extent cx="5943600" cy="315524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5_margen_linea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552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Detalle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Linea</w:t>
            </w:r>
          </w:p>
        </w:tc>
        <w:tc>
          <w:tcPr>
            <w:tcW w:type="dxa" w:w="4320"/>
          </w:tcPr>
          <w:p>
            <w:r>
              <w:t>Margen %</w:t>
            </w:r>
          </w:p>
        </w:tc>
      </w:tr>
      <w:tr>
        <w:tc>
          <w:tcPr>
            <w:tcW w:type="dxa" w:w="4320"/>
          </w:tcPr>
          <w:p>
            <w:r>
              <w:t>Laptops</w:t>
            </w:r>
          </w:p>
        </w:tc>
        <w:tc>
          <w:tcPr>
            <w:tcW w:type="dxa" w:w="4320"/>
          </w:tcPr>
          <w:p>
            <w:r>
              <w:t>42.0%</w:t>
            </w:r>
          </w:p>
        </w:tc>
      </w:tr>
      <w:tr>
        <w:tc>
          <w:tcPr>
            <w:tcW w:type="dxa" w:w="4320"/>
          </w:tcPr>
          <w:p>
            <w:r>
              <w:t>Switches</w:t>
            </w:r>
          </w:p>
        </w:tc>
        <w:tc>
          <w:tcPr>
            <w:tcW w:type="dxa" w:w="4320"/>
          </w:tcPr>
          <w:p>
            <w:r>
              <w:t>38.0%</w:t>
            </w:r>
          </w:p>
        </w:tc>
      </w:tr>
      <w:tr>
        <w:tc>
          <w:tcPr>
            <w:tcW w:type="dxa" w:w="4320"/>
          </w:tcPr>
          <w:p>
            <w:r>
              <w:t>UPS</w:t>
            </w:r>
          </w:p>
        </w:tc>
        <w:tc>
          <w:tcPr>
            <w:tcW w:type="dxa" w:w="4320"/>
          </w:tcPr>
          <w:p>
            <w:r>
              <w:t>35.0%</w:t>
            </w:r>
          </w:p>
        </w:tc>
      </w:tr>
      <w:tr>
        <w:tc>
          <w:tcPr>
            <w:tcW w:type="dxa" w:w="4320"/>
          </w:tcPr>
          <w:p>
            <w:r>
              <w:t>Camaras</w:t>
            </w:r>
          </w:p>
        </w:tc>
        <w:tc>
          <w:tcPr>
            <w:tcW w:type="dxa" w:w="4320"/>
          </w:tcPr>
          <w:p>
            <w:r>
              <w:t>29.0%</w:t>
            </w:r>
          </w:p>
        </w:tc>
      </w:tr>
      <w:tr>
        <w:tc>
          <w:tcPr>
            <w:tcW w:type="dxa" w:w="4320"/>
          </w:tcPr>
          <w:p>
            <w:r>
              <w:t>Servidores</w:t>
            </w:r>
          </w:p>
        </w:tc>
        <w:tc>
          <w:tcPr>
            <w:tcW w:type="dxa" w:w="4320"/>
          </w:tcPr>
          <w:p>
            <w:r>
              <w:t>24.0%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Confidencial · INT Business One Copilot · Uso interno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Margen Bruto por Linea 2025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6B7280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6B7280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