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371600" cy="969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69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1F4E79"/>
          <w:sz w:val="52"/>
        </w:rPr>
        <w:t>Margen Bruto por Linea 2025</w:t>
      </w:r>
    </w:p>
    <w:p>
      <w:r>
        <w:rPr>
          <w:color w:val="6B7280"/>
          <w:sz w:val="24"/>
        </w:rPr>
        <w:t>Modelo: gpt-oss-20b (local) · INT_PROD_LAB · Datos de muestra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Registros</w:t>
            </w:r>
          </w:p>
        </w:tc>
        <w:tc>
          <w:tcPr>
            <w:tcW w:type="dxa" w:w="4320"/>
          </w:tcPr>
          <w:p>
            <w:r>
              <w:t>$5.00</w:t>
            </w:r>
          </w:p>
        </w:tc>
      </w:tr>
    </w:tbl>
    <w:p>
      <w:r>
        <w:br w:type="page"/>
      </w:r>
    </w:p>
    <w:p>
      <w:pPr>
        <w:pStyle w:val="Heading1"/>
      </w:pPr>
      <w:r>
        <w:t>Resumen ejecutivo</w:t>
      </w:r>
    </w:p>
    <w:p>
      <w:r>
        <w:t>El análisis de la venta en 2025 revela que el margen bruto promedio por línea de factura es de aproximadamente 28%, con líneas que alcanzan hasta el 65% y otras por debajo del 10%. Los artículos con mayor margen corresponden a productos de alta demanda y bajo costo de adquisición, mientras que los de menor margen suelen implicar compras a proveedores con precios elevados o descuentos internos.  \n\nEstas tendencias sugieren revisar la política de precios y la selección de proveedores para maximizar la rentabilidad. Se recomienda considerar renegociar precios con los proveedores de líneas de bajo margen y explorar estrategias de precios premium en los artículos con mayor margen.</w:t>
      </w:r>
    </w:p>
    <w:p>
      <w:pPr>
        <w:pStyle w:val="Heading1"/>
      </w:pPr>
      <w:r>
        <w:t>Visualización</w:t>
      </w:r>
    </w:p>
    <w:p>
      <w:r>
        <w:drawing>
          <wp:inline xmlns:a="http://schemas.openxmlformats.org/drawingml/2006/main" xmlns:pic="http://schemas.openxmlformats.org/drawingml/2006/picture">
            <wp:extent cx="5943600" cy="315524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5_margen_linea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52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Detalle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Linea</w:t>
            </w:r>
          </w:p>
        </w:tc>
        <w:tc>
          <w:tcPr>
            <w:tcW w:type="dxa" w:w="4320"/>
          </w:tcPr>
          <w:p>
            <w:r>
              <w:t>Margen %</w:t>
            </w:r>
          </w:p>
        </w:tc>
      </w:tr>
      <w:tr>
        <w:tc>
          <w:tcPr>
            <w:tcW w:type="dxa" w:w="4320"/>
          </w:tcPr>
          <w:p>
            <w:r>
              <w:t>Laptops</w:t>
            </w:r>
          </w:p>
        </w:tc>
        <w:tc>
          <w:tcPr>
            <w:tcW w:type="dxa" w:w="4320"/>
          </w:tcPr>
          <w:p>
            <w:r>
              <w:t>42.0%</w:t>
            </w:r>
          </w:p>
        </w:tc>
      </w:tr>
      <w:tr>
        <w:tc>
          <w:tcPr>
            <w:tcW w:type="dxa" w:w="4320"/>
          </w:tcPr>
          <w:p>
            <w:r>
              <w:t>Switches</w:t>
            </w:r>
          </w:p>
        </w:tc>
        <w:tc>
          <w:tcPr>
            <w:tcW w:type="dxa" w:w="4320"/>
          </w:tcPr>
          <w:p>
            <w:r>
              <w:t>38.0%</w:t>
            </w:r>
          </w:p>
        </w:tc>
      </w:tr>
      <w:tr>
        <w:tc>
          <w:tcPr>
            <w:tcW w:type="dxa" w:w="4320"/>
          </w:tcPr>
          <w:p>
            <w:r>
              <w:t>UPS</w:t>
            </w:r>
          </w:p>
        </w:tc>
        <w:tc>
          <w:tcPr>
            <w:tcW w:type="dxa" w:w="4320"/>
          </w:tcPr>
          <w:p>
            <w:r>
              <w:t>35.0%</w:t>
            </w:r>
          </w:p>
        </w:tc>
      </w:tr>
      <w:tr>
        <w:tc>
          <w:tcPr>
            <w:tcW w:type="dxa" w:w="4320"/>
          </w:tcPr>
          <w:p>
            <w:r>
              <w:t>Camaras</w:t>
            </w:r>
          </w:p>
        </w:tc>
        <w:tc>
          <w:tcPr>
            <w:tcW w:type="dxa" w:w="4320"/>
          </w:tcPr>
          <w:p>
            <w:r>
              <w:t>29.0%</w:t>
            </w:r>
          </w:p>
        </w:tc>
      </w:tr>
      <w:tr>
        <w:tc>
          <w:tcPr>
            <w:tcW w:type="dxa" w:w="4320"/>
          </w:tcPr>
          <w:p>
            <w:r>
              <w:t>Servidores</w:t>
            </w:r>
          </w:p>
        </w:tc>
        <w:tc>
          <w:tcPr>
            <w:tcW w:type="dxa" w:w="4320"/>
          </w:tcPr>
          <w:p>
            <w:r>
              <w:t>24.0%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Confidencial · INT Business One Copilot · Uso interno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Margen Bruto por Linea 2025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