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qwen3-coder-30b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informe presenta el margen bruto por línea de factura de cliente para el año 2025, calculado como la diferencia entre el valor de venta (LineTotal) y el costo del producto (calculado como Quantity * AvgPrice de OITM). Se filtran solo las facturas no canceladas y líneas abiertas. Este análisis permite identificar qué productos generan mayor rentabilidad. El porcentaje de margen se calcula en relación al total de la línea, facilitando la comparación entre diferentes artículos o facturas.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Linea</w:t>
            </w:r>
          </w:p>
        </w:tc>
        <w:tc>
          <w:tcPr>
            <w:tcW w:type="dxa" w:w="4320"/>
          </w:tcPr>
          <w:p>
            <w:r>
              <w:t>Margen %</w:t>
            </w:r>
          </w:p>
        </w:tc>
      </w:tr>
      <w:tr>
        <w:tc>
          <w:tcPr>
            <w:tcW w:type="dxa" w:w="4320"/>
          </w:tcPr>
          <w:p>
            <w:r>
              <w:t>Laptops</w:t>
            </w:r>
          </w:p>
        </w:tc>
        <w:tc>
          <w:tcPr>
            <w:tcW w:type="dxa" w:w="4320"/>
          </w:tcPr>
          <w:p>
            <w:r>
              <w:t>42.0%</w:t>
            </w:r>
          </w:p>
        </w:tc>
      </w:tr>
      <w:tr>
        <w:tc>
          <w:tcPr>
            <w:tcW w:type="dxa" w:w="4320"/>
          </w:tcPr>
          <w:p>
            <w:r>
              <w:t>Switches</w:t>
            </w:r>
          </w:p>
        </w:tc>
        <w:tc>
          <w:tcPr>
            <w:tcW w:type="dxa" w:w="4320"/>
          </w:tcPr>
          <w:p>
            <w:r>
              <w:t>38.0%</w:t>
            </w:r>
          </w:p>
        </w:tc>
      </w:tr>
      <w:tr>
        <w:tc>
          <w:tcPr>
            <w:tcW w:type="dxa" w:w="4320"/>
          </w:tcPr>
          <w:p>
            <w:r>
              <w:t>UPS</w:t>
            </w:r>
          </w:p>
        </w:tc>
        <w:tc>
          <w:tcPr>
            <w:tcW w:type="dxa" w:w="4320"/>
          </w:tcPr>
          <w:p>
            <w:r>
              <w:t>35.0%</w:t>
            </w:r>
          </w:p>
        </w:tc>
      </w:tr>
      <w:tr>
        <w:tc>
          <w:tcPr>
            <w:tcW w:type="dxa" w:w="4320"/>
          </w:tcPr>
          <w:p>
            <w:r>
              <w:t>Camaras</w:t>
            </w:r>
          </w:p>
        </w:tc>
        <w:tc>
          <w:tcPr>
            <w:tcW w:type="dxa" w:w="4320"/>
          </w:tcPr>
          <w:p>
            <w:r>
              <w:t>29.0%</w:t>
            </w:r>
          </w:p>
        </w:tc>
      </w:tr>
      <w:tr>
        <w:tc>
          <w:tcPr>
            <w:tcW w:type="dxa" w:w="4320"/>
          </w:tcPr>
          <w:p>
            <w:r>
              <w:t>Servidores</w:t>
            </w:r>
          </w:p>
        </w:tc>
        <w:tc>
          <w:tcPr>
            <w:tcW w:type="dxa" w:w="4320"/>
          </w:tcPr>
          <w:p>
            <w:r>
              <w:t>24.0%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