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Periodo: enero - diciembre 2025 · INT_PROD_LAB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Venta total</w:t>
            </w:r>
          </w:p>
        </w:tc>
        <w:tc>
          <w:tcPr>
            <w:tcW w:type="dxa" w:w="4320"/>
          </w:tcPr>
          <w:p>
            <w:r>
              <w:t>$48,234,567.89</w:t>
            </w:r>
          </w:p>
        </w:tc>
      </w:tr>
      <w:tr>
        <w:tc>
          <w:tcPr>
            <w:tcW w:type="dxa" w:w="4320"/>
          </w:tcPr>
          <w:p>
            <w:r>
              <w:t>Vendedores</w:t>
            </w:r>
          </w:p>
        </w:tc>
        <w:tc>
          <w:tcPr>
            <w:tcW w:type="dxa" w:w="4320"/>
          </w:tcPr>
          <w:p>
            <w:r>
              <w:t>$12.00</w:t>
            </w:r>
          </w:p>
        </w:tc>
      </w:tr>
      <w:tr>
        <w:tc>
          <w:tcPr>
            <w:tcW w:type="dxa" w:w="4320"/>
          </w:tcPr>
          <w:p>
            <w:r>
              <w:t>Ticket promedio</w:t>
            </w:r>
          </w:p>
        </w:tc>
        <w:tc>
          <w:tcPr>
            <w:tcW w:type="dxa" w:w="4320"/>
          </w:tcPr>
          <w:p>
            <w:r>
              <w:t>$184,500.00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ejercicio 2025 cerró con una facturación consolidada de 48.2 millones, liderada por los tres vendedores principales que concentran el 58% del total.</w:t>
      </w:r>
    </w:p>
    <w:p>
      <w:r>
        <w:t>La concentración sugiere revisar la cartera de clientes de los vendedores de menor desempeño.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st_sintetic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Vendedor</w:t>
            </w:r>
          </w:p>
        </w:tc>
        <w:tc>
          <w:tcPr>
            <w:tcW w:type="dxa" w:w="4320"/>
          </w:tcPr>
          <w:p>
            <w:r>
              <w:t>Total facturado</w:t>
            </w:r>
          </w:p>
        </w:tc>
      </w:tr>
      <w:tr>
        <w:tc>
          <w:tcPr>
            <w:tcW w:type="dxa" w:w="4320"/>
          </w:tcPr>
          <w:p>
            <w:r>
              <w:t>A. Torres</w:t>
            </w:r>
          </w:p>
        </w:tc>
        <w:tc>
          <w:tcPr>
            <w:tcW w:type="dxa" w:w="4320"/>
          </w:tcPr>
          <w:p>
            <w:r>
              <w:t>15,200,000.00</w:t>
            </w:r>
          </w:p>
        </w:tc>
      </w:tr>
      <w:tr>
        <w:tc>
          <w:tcPr>
            <w:tcW w:type="dxa" w:w="4320"/>
          </w:tcPr>
          <w:p>
            <w:r>
              <w:t>B. Ruiz</w:t>
            </w:r>
          </w:p>
        </w:tc>
        <w:tc>
          <w:tcPr>
            <w:tcW w:type="dxa" w:w="4320"/>
          </w:tcPr>
          <w:p>
            <w:r>
              <w:t>8,800,000.00</w:t>
            </w:r>
          </w:p>
        </w:tc>
      </w:tr>
      <w:tr>
        <w:tc>
          <w:tcPr>
            <w:tcW w:type="dxa" w:w="4320"/>
          </w:tcPr>
          <w:p>
            <w:r>
              <w:t>C. Mendoza</w:t>
            </w:r>
          </w:p>
        </w:tc>
        <w:tc>
          <w:tcPr>
            <w:tcW w:type="dxa" w:w="4320"/>
          </w:tcPr>
          <w:p>
            <w:r>
              <w:t>6,100,000.00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